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w:t>
      </w:r>
      <w:r>
        <w:t xml:space="preserve"> </w:t>
      </w:r>
      <w:r>
        <w:t xml:space="preserve">degree</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 The call for a decent life for all within planetary limits poses a dual challenge: Provide all people with the essential resources needed to live well and, collectively, to not exceed the source and sink capacity of the biosphere to sustain human societies. In this paper, we examined the space of possible distributions of household energy and carbon footprints that satisfy both minimal energy requirements for a decent living and maximum supply of decarbonized energy to achieve the 1.5 degree target in 2050 for the populations of 28 European countries. Estimates for a range of minimum energy requirements for a decent life, as well as estimates for the maximum available energy supply, were taken from the 1.5 degree scenario literature. The maximum available energy supply is determined by how quickly the emission intensity of the global energy system can be reduced (expansion of renewables, efficiency improvements, etc.) so that the global energy mix remains within the specified emission reduction pathways. [not finished yet]</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 (ref).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by contrast, there are lower limits to how much energy is minimally required for a decent life</w:t>
      </w:r>
      <w:r>
        <w:t xml:space="preserve"> </w:t>
      </w:r>
      <w:r>
        <w:t xml:space="preserve">(2)</w:t>
      </w:r>
      <w:r>
        <w:t xml:space="preserve">, depending on different assumptions about the available infrastructure of energy services, as well as the prevalent social ideas about what constitutes a good life (ref). Maximum possible energy supply and minimum necessary energy demand describe the corridor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average energy footprint of EU citizens was X GJ per capita in 2011</w:t>
      </w:r>
      <w:r>
        <w:t xml:space="preserve"> </w:t>
      </w:r>
      <w:r>
        <w:t xml:space="preserve">(4)</w:t>
      </w:r>
      <w:r>
        <w:t xml:space="preserve"> </w:t>
      </w:r>
      <w:r>
        <w:t xml:space="preserve">and the carbon footprint 8.2 tonnes CO2eq per capita in 2007</w:t>
      </w:r>
      <w:r>
        <w:t xml:space="preserve"> </w:t>
      </w:r>
      <w:r>
        <w:t xml:space="preserve">(5)</w:t>
      </w:r>
      <w:r>
        <w:t xml:space="preserve">. However, the differences in average energy and carbon footprints are large within and between different regions in the EU. Energy footprints ranged from X to Y GJ per capita in 2011</w:t>
      </w:r>
      <w:r>
        <w:t xml:space="preserve"> </w:t>
      </w:r>
      <w:r>
        <w:t xml:space="preserve">(4)</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tCO2eq per capita</w:t>
      </w:r>
      <w:r>
        <w:t xml:space="preserve"> </w:t>
      </w:r>
      <w:r>
        <w:t xml:space="preserve">(7)</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household energy and carbon footprints for harmonized European expenditure deciles in 2015, combining data from EUROSTAT’s Household Budget Survey (HBS) with the Environmentally-Extended Multi-Regional Input-Output (EE-MRIO) model EXIOBASE. We analyze the distribution of energy and carbon intensities across European expenditure deciles and consumption categories, and compare this current structure to a hypothetical situation where all European deciles use the best technology available in Europe. Finally we examine how the energy inequality across European household expenditure deciles would need to change to achieve the dual goal of climate protection and a decent standard of living for all.</w:t>
      </w:r>
    </w:p>
    <w:p>
      <w:pPr>
        <w:pStyle w:val="BodyText"/>
      </w:pPr>
      <w:r>
        <w:t xml:space="preserve">While the European Green Deal already recognizes that inequalities in income, energy infrastructure, energy consumption and greenhouse gas emissions lead to different responsibilities and capacities in achieving the emission savings targets, a quantification of the attainable corridor for 1.5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used the EE-MRIO model EXIOBASE for 2015 (version3, industry-by-industry)</w:t>
      </w:r>
      <w:r>
        <w:t xml:space="preserve"> </w:t>
      </w:r>
      <w:r>
        <w:t xml:space="preserve">(8)</w:t>
      </w:r>
      <w:r>
        <w:t xml:space="preserve"> </w:t>
      </w:r>
      <w:r>
        <w:t xml:space="preserve">and the European household budget survey (HBS) macro-data from EUROSTAT for 2015</w:t>
      </w:r>
      <w:r>
        <w:t xml:space="preserve"> </w:t>
      </w:r>
      <w:r>
        <w:t xml:space="preserve">(9)</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 (PPS), by COICOP consumption category, country and year. We choose EXIOBASE as the EE-MRIO for this study because of its European focus, with nearly all countries in the EUROSTAT HBS also found as stand-alone countries in EXIOBASE (see SI - table 5), its detailed satellite extension data, and its year coverage.</w:t>
      </w:r>
    </w:p>
    <w:p>
      <w:pPr>
        <w:pStyle w:val="BodyText"/>
      </w:pPr>
      <w:r>
        <w:t xml:space="preserve">To integrate HBS data into EXIOBASE we created correspondence tables between the EXIOBASE sectors and the matching COICOP consumption categories used in HBS (see SI, p xx for details). We then used the relative shares of the COICOP consumption categories of each income quintile in the HBS to decompose the matching EXIOBASE national household final demand expenditure per sector and per income quintile. Using standard input-output techniques (see SI) we calculated</w:t>
      </w:r>
      <w:r>
        <w:t xml:space="preserve"> </w:t>
      </w:r>
      <w:r>
        <w:t xml:space="preserve">‘</w:t>
      </w:r>
      <w:r>
        <w:t xml:space="preserve">total</w:t>
      </w:r>
      <w:r>
        <w:t xml:space="preserve">’</w:t>
      </w:r>
      <w:r>
        <w:t xml:space="preserve"> </w:t>
      </w:r>
      <w:r>
        <w:t xml:space="preserve">(i.e. indirect supply chain) energy use and carbon intensities per EXIOBASE sector and multiplied them with the income-stratified EXIOBASE national household expenditure, to estimate the supply chain part of national household energy and carbon footprints by national income quintile.</w:t>
      </w:r>
    </w:p>
    <w:p>
      <w:pPr>
        <w:pStyle w:val="BodyText"/>
      </w:pPr>
      <w:r>
        <w:t xml:space="preserve">We used the energy use extensions</w:t>
      </w:r>
      <w:r>
        <w:t xml:space="preserve"> </w:t>
      </w:r>
      <w:r>
        <w:t xml:space="preserve">‘</w:t>
      </w:r>
      <w:r>
        <w:t xml:space="preserve">gross total energy use</w:t>
      </w:r>
      <w:r>
        <w:t xml:space="preserve">’</w:t>
      </w:r>
      <w:r>
        <w:t xml:space="preserve"> </w:t>
      </w:r>
      <w:r>
        <w:t xml:space="preserve">from EXIOBASE, which converts final energy consumption in the IEA energy balance data from the territorial to residence principle following SEEA energy accounting</w:t>
      </w:r>
      <w:r>
        <w:t xml:space="preserve"> </w:t>
      </w:r>
      <w:r>
        <w:t xml:space="preserve">(8)</w:t>
      </w:r>
      <w:r>
        <w:t xml:space="preserve"> </w:t>
      </w:r>
      <w:r>
        <w:t xml:space="preserve">and the EXIOBASE GHG emission extensions CO2, CH4, N2O, SF6, HFCs and PFCs, from combustion, non-combustion, agriculture and waste, but not land-use change. For the direct household energy use and carbon emissions, which are also included in the environmental footprints, we used data from EUROSTAT (Ref).</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from the HBS of 28 European countries (in total 140 national quintiles) according to their mean expenditure in PPS and aggregated the result to 10 European expenditure groups. For brevity we call them expenditure deciles in the rest of the paper. Our coverage of European countries is limited to those included in both the EUROSTAT HBS data and EXIOBASE in 2015. This resulted in a country sample that includes the non-EU members Norway and Turkey,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decile because this is how the EUROSTAT HBS publishes its data. The first adult in the household is given a weight of 1.0, each adult thereafter 0.5, and each child 0.3</w:t>
      </w:r>
      <w:r>
        <w:t xml:space="preserve"> </w:t>
      </w:r>
      <w:r>
        <w:t xml:space="preserve">(10)</w:t>
      </w:r>
      <w:r>
        <w:t xml:space="preserve">.</w:t>
      </w:r>
    </w:p>
    <w:p>
      <w:pPr>
        <w:pStyle w:val="BodyText"/>
      </w:pPr>
      <w:r>
        <w:t xml:space="preserve">For our calculations of attainable corridors for achieving the dual goal of climate protection and a decent standard of living for all, we adjusted the total per capita results from published 1.5 scenarios to adult equivalents in order to better compare with our environmental footprint estimates (see SI pp xx for details). Data on decarbonization scenarios, Minimum final energy use for a decent living are from Grubler et al. (2018)</w:t>
      </w:r>
      <w:r>
        <w:t xml:space="preserve"> </w:t>
      </w:r>
      <w:r>
        <w:t xml:space="preserve">(2)</w:t>
      </w:r>
      <w:r>
        <w:t xml:space="preserve"> </w:t>
      </w:r>
      <w:r>
        <w:t xml:space="preserve">and Millward-Hopkins et al. (2020)</w:t>
      </w:r>
      <w:r>
        <w:t xml:space="preserve"> </w:t>
      </w:r>
      <w:r>
        <w:t xml:space="preserve">(3)</w:t>
      </w:r>
      <w:r>
        <w:t xml:space="preserve">, maximum final energy use compatible with the 1.5 degree target is from the IIASA scenario database</w:t>
      </w:r>
      <w:r>
        <w:t xml:space="preserve"> </w:t>
      </w:r>
      <w:r>
        <w:t xml:space="preserve">(11)</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an hypothetical current best technology distribution across European household expenditure deciles, for each value combination of maximum energy supply from [xx] scenarios [REF] and minimum energy use requirements from [REF], the maximum permissible inequality was calculated as a 10:10 ratio using the formula [insert formula]. The remaining global emissions budget to achieve the 1.5 degree target from the scenarios was allocated in proportion to population (equal per capita allocation). All data and procedures are described in detail in the supplementary information (SI).</w:t>
      </w:r>
    </w:p>
    <w:p>
      <w:pPr>
        <w:pStyle w:val="Heading1"/>
      </w:pPr>
      <w:bookmarkStart w:id="26" w:name="results-and-discussion"/>
      <w:r>
        <w:t xml:space="preserve">Results and discussion</w:t>
      </w:r>
      <w:bookmarkEnd w:id="26"/>
    </w:p>
    <w:p>
      <w:pPr>
        <w:pStyle w:val="Heading2"/>
      </w:pPr>
      <w:bookmarkStart w:id="27" w:name="Xf747c58a9d0a64ae10cceca5fbb3b077f7c0aec"/>
      <w:r>
        <w:t xml:space="preserve">Environmental footprints are less unequal than expenditure levels</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 1b and 1c). The top decile divided by the bottom decile (the 10:10 ratio) was 7.2 for expenditure, 3.5 for energy and 2.6 for carbon (Figure 1a-c). Total expenditure ranged from 0.2 trn€ to 1.3 trn€ between bottom and top decile, or 5263€ to 3.811</w:t>
      </w:r>
      <w:r>
        <w:t xml:space="preserve">10^{4}€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use per € expenditure (d), and the carbon intensity of energy, measured as carbon footprint per energy footprint (f), decreased from bottom to top expenditure decile. The population 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 1d and 1e. Across all population weighted intensities per deciles, the variance in the lower four deciles is much higher (Figure 1d-f).</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consumption sectors could systematically differ according to the level of household expenditure.</w:t>
      </w:r>
    </w:p>
    <w:p>
      <w:pPr>
        <w:pStyle w:val="CaptionedFigure"/>
      </w:pPr>
      <w:r>
        <w:drawing>
          <wp:inline>
            <wp:extent cx="5943600" cy="1857375"/>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 (Figure 2). Lower-income households, on average, spend larger shares of their expenditure in the housing sector. The bottom decile spent an average of 23.9% of their household expenditure on housing, while the top decile spent 26.1%. The housing sector stands out with a carbon intensity of consumption more than 3 times higher in the bottom decile (3.4 kgCO2eq/€) than in the top decile (0.5 kgCO2eq/€). At the same time, housing is by far the most carbon intensive sector and has the highest variance in carbon intensity among expenditure deciles. Overall, with increasing decile, the shares of mobility and services expenditures increase and the shares of housing, food and goods decrease. Households in the top decile spend about 34.5% in the service sector, which has the lowest carbon intensity of all consumption sectors, compared to 25.2% in the bottom decile.</w:t>
      </w:r>
    </w:p>
    <w:p>
      <w:pPr>
        <w:pStyle w:val="BodyText"/>
      </w:pPr>
      <w:r>
        <w:t xml:space="preserve">The tendency for energy and carbon intensity to decrease with increasing affluence has been reported for the global level (ref - Hubacek?) between countries and also within Europe</w:t>
      </w:r>
      <w:r>
        <w:t xml:space="preserve"> </w:t>
      </w:r>
      <w:r>
        <w:t xml:space="preserve">(13)</w:t>
      </w:r>
      <w:r>
        <w:t xml:space="preserve">. Our results show that the four lowest European expenditure deciles make up 80% to 100% of the population in Poland, Romania, Bulgaria and the Czech Republic, while less than 20% of the population in the higher-income European countries (Scandinavia, Germany, France, Austria, the Netherlands, Belgium, the UK, and Ireland) are in the lowest European expenditure deciles. Note here that this does not imply that there are no high-income households in Eastern Europe. Our analysis is based on average expenditure data from national income quintiles. This aggregation cuts off the lower and higher tails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(14)</w:t>
      </w:r>
      <w:r>
        <w:t xml:space="preserve">, and had a higher average intensity of carbon per MJ of heat delivered than both Europe and the world</w:t>
      </w:r>
      <w:r>
        <w:t xml:space="preserve"> </w:t>
      </w:r>
      <w:r>
        <w:t xml:space="preserve">(15)</w:t>
      </w:r>
      <w:r>
        <w:t xml:space="preserve">. We did not account here for subsidies which could also have attributed to high energy and carbon intensities (see SI limitations, pp xx).</w:t>
      </w:r>
    </w:p>
    <w:p>
      <w:pPr>
        <w:pStyle w:val="Heading2"/>
      </w:pPr>
      <w:bookmarkStart w:id="30" w:name="Xa5ec6b06a9f98c59372e9d5ceb51319bf0d5548"/>
      <w:r>
        <w:t xml:space="preserve">Inequality across final consumption sectors</w:t>
      </w:r>
      <w:bookmarkEnd w:id="30"/>
    </w:p>
    <w:p>
      <w:pPr>
        <w:pStyle w:val="FirstParagraph"/>
      </w:pPr>
      <w:r>
        <w:t xml:space="preserve">The final consumption sectors (mobility, food, housing, goods and services) contributed very differently to the total environmental footprint of European households in 2015 (Figure 3). On average, housing and mobility are the two largest sectors, accounting for nearly two thirds of both the energy and carbon footprints. However, there are big differences between the sectors when looking at the respective contributions of each expenditure decile. For housing there is very little difference between deciles in both the energy and the carbon footprint. The bottom four deciles even have higher carbon footprints from housing than most top deciles, which can be explained by the extreme differences in intensity shown in Figure 2. Mobility was the most unequal sector, with footprints in the top decile 10 times higher than the bottom decile, corroborating findings in</w:t>
      </w:r>
      <w:r>
        <w:t xml:space="preserve"> </w:t>
      </w:r>
      <w:r>
        <w:t xml:space="preserve">(16)</w:t>
      </w:r>
      <w:r>
        <w:t xml:space="preserve"> </w:t>
      </w:r>
      <w:r>
        <w:t xml:space="preserve">and</w:t>
      </w:r>
      <w:r>
        <w:t xml:space="preserve"> </w:t>
      </w:r>
      <w:r>
        <w:t xml:space="preserve">(4)</w:t>
      </w:r>
      <w:r>
        <w:t xml:space="preserve">. Goods was the second most unequal final consumption sector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The geographical source of the household energy and carbon footprints also varies with consumption categories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 or indirectly, i.e. embedded along household’s supply chains. The goods footprint was mostly non-European, while services and food were both around one third non-European. These results suggest that proposed future carbon border-adjustment mechanisms</w:t>
      </w:r>
      <w:r>
        <w:t xml:space="preserve"> </w:t>
      </w:r>
      <w:r>
        <w:t xml:space="preserve">(17)</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4320"/>
        <w:gridCol w:w="4320"/>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471"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bl>
    <w:p>
      <w:pPr>
        <w:pStyle w:val="BodyText"/>
      </w:pPr>
      <w:r>
        <w:t xml:space="preserve">The various global supply side scenarios (SSP1-1.9, SSP2-1.9, GEA efficiency, IEA ETP B2DS)</w:t>
      </w:r>
      <w:r>
        <w:t xml:space="preserve">(11)</w:t>
      </w:r>
      <w:r>
        <w:t xml:space="preserve"> </w:t>
      </w:r>
      <w:r>
        <w:t xml:space="preserve">envisage household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which is still a fairly speculative technology, and we therefore interpret them as ranges for the upper limits of 1.5°C-compatible energy supply</w:t>
      </w:r>
      <w:r>
        <w:t xml:space="preserve"> </w:t>
      </w:r>
      <w:r>
        <w:t xml:space="preserve">(11)</w:t>
      </w:r>
      <w:r>
        <w:t xml:space="preserve">.</w:t>
      </w:r>
    </w:p>
    <w:p>
      <w:pPr>
        <w:pStyle w:val="BodyText"/>
      </w:pPr>
      <w:r>
        <w:t xml:space="preserve">It is even more difficult to determine a lower limit for the minimum amount of energy needed for a decent life. Such a lower limit depends strongly on the prevalent socio-cultural idea of what constitutes a decent life, and, perhaps even more strongly, on the physical infrastructure available to deliver this life. The two global demand side scenarios LED</w:t>
      </w:r>
      <w:r>
        <w:t xml:space="preserve"> </w:t>
      </w:r>
      <w:r>
        <w:t xml:space="preserve">(2)</w:t>
      </w:r>
      <w:r>
        <w:t xml:space="preserve"> </w:t>
      </w:r>
      <w:r>
        <w:t xml:space="preserve">and DLE</w:t>
      </w:r>
      <w:r>
        <w:t xml:space="preserve"> </w:t>
      </w:r>
      <w:r>
        <w:t xml:space="preserve">(3)</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 the current political discourse on the subject. These scenarios are 1.5°C compatible without resorting to any CCS but they all implicitly (LED)</w:t>
      </w:r>
      <w:r>
        <w:t xml:space="preserve"> </w:t>
      </w:r>
      <w:r>
        <w:t xml:space="preserve">(2)</w:t>
      </w:r>
      <w:r>
        <w:t xml:space="preserve"> </w:t>
      </w:r>
      <w:r>
        <w:t xml:space="preserve">or explicitly (DLE)</w:t>
      </w:r>
      <w:r>
        <w:t xml:space="preserve"> </w:t>
      </w:r>
      <w:r>
        <w:t xml:space="preserve">(3)</w:t>
      </w:r>
      <w:r>
        <w:t xml:space="preserve"> </w:t>
      </w:r>
      <w:r>
        <w:t xml:space="preserve">assume near complete equality of consumption across the population. To put these low energy demand numbers in perspective, the average energy footprint in our sample is 250 per adult equivalent in 2015, about a factor 5 above the high estimate. Households in the bottom European expenditure decile, which almost entirely fell within the Eurostat definition of severe material deprivation</w:t>
      </w:r>
      <w:r>
        <w:t xml:space="preserve"> </w:t>
      </w:r>
      <w:r>
        <w:t xml:space="preserve">(18)</w:t>
      </w:r>
      <w:r>
        <w:t xml:space="preserve">, still had an energy footprint of 130 GJ per adult equivalent in 2015 (roughly 80 GJ/capita), factor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decent life for all is to be made possible. Before we can make this evaluation, we must take into account the existing large differences in the technological efficiency of energy provision (Figure 2). These differences will be adjusted in the next step.</w:t>
      </w:r>
    </w:p>
    <w:p>
      <w:pPr>
        <w:pStyle w:val="Heading2"/>
      </w:pPr>
      <w:bookmarkStart w:id="33" w:name="X2dd794aa03f2c63ef4370bbc84e8c987b3f3651"/>
      <w:r>
        <w:t xml:space="preserve">Current empirical best technology per sector</w:t>
      </w:r>
      <w:bookmarkEnd w:id="33"/>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(19)</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(17)</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(Figure 5).</w:t>
      </w:r>
    </w:p>
    <w:p>
      <w:pPr>
        <w:pStyle w:val="BodyText"/>
      </w:pPr>
      <w:r>
        <w:t xml:space="preserve">Both the DLE and LED scenarios satisfy energy demand for decent living and are compatible with the 1.5 degree target without resorting to CCS technologies</w:t>
      </w:r>
      <w:r>
        <w:t xml:space="preserve"> </w:t>
      </w:r>
      <w:r>
        <w:t xml:space="preserve">(3)</w:t>
      </w:r>
      <w:r>
        <w:t xml:space="preserve">. The DLE scenario explicitly envisions absolute global inequality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values for the Global North (53GJ/ae) and the Global South (27GJ/ae)</w:t>
      </w:r>
      <w:r>
        <w:t xml:space="preserve"> </w:t>
      </w:r>
      <w:r>
        <w:t xml:space="preserve">(2)</w:t>
      </w:r>
      <w:r>
        <w:t xml:space="preserve">. However, due to the bottom-up construction of this demand scenario, these values can be interpreted as estimates for the minimum required energy use.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minimal energy for a decent living (on the x-axis) to the corresponding energy inequality that is consistent with the average energy availability. It is clear from Figure 5 that at current inequality levels, only the two scenarios with heavy CCS deployment [add scenario acronym] and GEA efficiency are possible and only if we assume in addition extremely low minimum energy use requirements (below 27 GJ/ae). This 27 GJ/ae is roughly the value the low-energy demand (LED) scenario gives for the Global South in 2050. If we use the value given for the Global North at 53 GJ/ae as minimum energy requirements, which still requires strong demand side measures, then inequality would need to be zero in the LED scenario and cut down by factors xx to yyy in all other scenarios.</w:t>
      </w:r>
    </w:p>
    <w:p>
      <w:pPr>
        <w:pStyle w:val="Heading1"/>
      </w:pPr>
      <w:bookmarkStart w:id="37" w:name="conclusions"/>
      <w:r>
        <w:t xml:space="preserve">Conclusions</w:t>
      </w:r>
      <w:bookmarkEnd w:id="37"/>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(21)</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(31)</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(13)</w:t>
      </w:r>
      <w:r>
        <w:t xml:space="preserve">. These higher intensities come almost entirely from domestic electricity production and heating/cooling for housing,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(19)</w:t>
      </w:r>
      <w:r>
        <w:t xml:space="preserve">. Efforts to break consumer lock-in to these high intensities must be occurring alongside policies that seek to reduce aggregate consumption and intensities higher up in the economic distribution</w:t>
      </w:r>
      <w:r>
        <w:t xml:space="preserve"> </w:t>
      </w:r>
      <w:r>
        <w:t xml:space="preserve">(34)</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housing,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(35)</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(38)</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Jakob Napiontek</w:t>
      </w:r>
    </w:p>
    <w:p>
      <w:r>
        <w:br w:type="page"/>
      </w:r>
    </w:p>
    <w:p>
      <w:pPr>
        <w:pStyle w:val="Heading1"/>
      </w:pPr>
      <w:bookmarkStart w:id="45" w:name="references"/>
      <w:r>
        <w:t xml:space="preserve">References</w:t>
      </w:r>
      <w:bookmarkEnd w:id="45"/>
    </w:p>
    <w:bookmarkStart w:id="120" w:name="refs"/>
    <w:bookmarkStart w:id="47"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46">
        <w:r>
          <w:rPr>
            <w:rStyle w:val="Hyperlink"/>
          </w:rPr>
          <w:t xml:space="preserve">http://www.nature.com/articles/s41558-018-0121-1</w:t>
        </w:r>
      </w:hyperlink>
    </w:p>
    <w:bookmarkEnd w:id="47"/>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8">
        <w:r>
          <w:rPr>
            <w:rStyle w:val="Hyperlink"/>
          </w:rPr>
          <w:t xml:space="preserve">https://rdcu.be/SOJx</w:t>
        </w:r>
      </w:hyperlink>
    </w:p>
    <w:bookmarkEnd w:id="49"/>
    <w:bookmarkStart w:id="51"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0">
        <w:r>
          <w:rPr>
            <w:rStyle w:val="Hyperlink"/>
          </w:rPr>
          <w:t xml:space="preserve">http://www.sciencedirect.com/science/article/pii/S0959378020307512</w:t>
        </w:r>
      </w:hyperlink>
    </w:p>
    <w:bookmarkEnd w:id="51"/>
    <w:bookmarkStart w:id="53" w:name="ref-oswald_large_2020"/>
    <w:p>
      <w:pPr>
        <w:pStyle w:val="Bibliography"/>
      </w:pPr>
      <w:r>
        <w:t xml:space="preserve">4. Oswald Y, Owen A, Steinberger JK. Large inequality in international and intranational energy footprints between income groups and across consumption categories. Nature Energy [Internet]. 2020 Mar [cited 2020 Apr 1];5(3):231–9. Available from:</w:t>
      </w:r>
      <w:r>
        <w:t xml:space="preserve"> </w:t>
      </w:r>
      <w:hyperlink r:id="rId52">
        <w:r>
          <w:rPr>
            <w:rStyle w:val="Hyperlink"/>
          </w:rPr>
          <w:t xml:space="preserve">https://www.nature.com/articles/s41560-020-0579-8</w:t>
        </w:r>
      </w:hyperlink>
    </w:p>
    <w:bookmarkEnd w:id="53"/>
    <w:bookmarkStart w:id="55" w:name="ref-ivanova_environmental_2016"/>
    <w:p>
      <w:pPr>
        <w:pStyle w:val="Bibliography"/>
      </w:pPr>
      <w:r>
        <w:t xml:space="preserve">5. Ivanova D, Stadler K, Steen‐Olsen K, Wood R, Vita G, Tukker A, et al. Environmental Impact Assessment of Household Consumption. Journal of Industrial Ecology [Internet]. 2016 [cited 2020 Jul 7];20(3):526–36. Available from:</w:t>
      </w:r>
      <w:r>
        <w:t xml:space="preserve"> </w:t>
      </w:r>
      <w:hyperlink r:id="rId54">
        <w:r>
          <w:rPr>
            <w:rStyle w:val="Hyperlink"/>
          </w:rPr>
          <w:t xml:space="preserve">https://onlinelibrary.wiley.com/doi/abs/10.1111/jiec.12371</w:t>
        </w:r>
      </w:hyperlink>
    </w:p>
    <w:bookmarkEnd w:id="55"/>
    <w:bookmarkStart w:id="57"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56">
        <w:r>
          <w:rPr>
            <w:rStyle w:val="Hyperlink"/>
          </w:rPr>
          <w:t xml:space="preserve">https://www.cambridge.org/core/journals/global-sustainability/article/unequal-distribution-of-household-carbon-footprints-in-europe-and-its-link-to-sustainability/F1ED4F705AF1C6C1FCAD477398353DC2</w:t>
        </w:r>
      </w:hyperlink>
    </w:p>
    <w:bookmarkEnd w:id="57"/>
    <w:bookmarkStart w:id="59"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58">
        <w:r>
          <w:rPr>
            <w:rStyle w:val="Hyperlink"/>
          </w:rPr>
          <w:t xml:space="preserve">https://www.iges.or.jp/en/pub/15-degrees-lifestyles-2019/en</w:t>
        </w:r>
      </w:hyperlink>
    </w:p>
    <w:bookmarkEnd w:id="59"/>
    <w:bookmarkStart w:id="61"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0">
        <w:r>
          <w:rPr>
            <w:rStyle w:val="Hyperlink"/>
          </w:rPr>
          <w:t xml:space="preserve">https://onlinelibrary.wiley.com/doi/abs/10.1111/jiec.12715</w:t>
        </w:r>
      </w:hyperlink>
    </w:p>
    <w:bookmarkEnd w:id="61"/>
    <w:bookmarkStart w:id="63" w:name="ref-eurostat_database_nodate"/>
    <w:p>
      <w:pPr>
        <w:pStyle w:val="Bibliography"/>
      </w:pPr>
      <w:r>
        <w:t xml:space="preserve">9. Eurostat. Database - Household budget surveys - Eurostat [Internet]. [cited 2021 Jan 20]. Available from:</w:t>
      </w:r>
      <w:r>
        <w:t xml:space="preserve"> </w:t>
      </w:r>
      <w:hyperlink r:id="rId62">
        <w:r>
          <w:rPr>
            <w:rStyle w:val="Hyperlink"/>
          </w:rPr>
          <w:t xml:space="preserve">https://ec.europa.eu/eurostat/web/household-budget-surveys/database</w:t>
        </w:r>
      </w:hyperlink>
    </w:p>
    <w:bookmarkEnd w:id="63"/>
    <w:bookmarkStart w:id="65" w:name="ref-eurostat_description_2016"/>
    <w:p>
      <w:pPr>
        <w:pStyle w:val="Bibliography"/>
      </w:pPr>
      <w:r>
        <w:t xml:space="preserve">10. Eurostat. Description of the data transmission for the Household Budget Survey (HBS) for the Reference Year 2015 Version: 3 [Internet]. 2016. Available from:</w:t>
      </w:r>
      <w:r>
        <w:t xml:space="preserve"> </w:t>
      </w:r>
      <w:hyperlink r:id="rId64">
        <w:r>
          <w:rPr>
            <w:rStyle w:val="Hyperlink"/>
          </w:rPr>
          <w:t xml:space="preserve">https://ec.europa.eu/eurostat/documents/54431/1966394/HBS2015_Transmission_DOC_V3.2018_05_22.pdf</w:t>
        </w:r>
      </w:hyperlink>
    </w:p>
    <w:bookmarkEnd w:id="65"/>
    <w:bookmarkStart w:id="67" w:name="ref-riahi_shared_2017"/>
    <w:p>
      <w:pPr>
        <w:pStyle w:val="Bibliography"/>
      </w:pPr>
      <w:r>
        <w:t xml:space="preserve">11.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66">
        <w:r>
          <w:rPr>
            <w:rStyle w:val="Hyperlink"/>
          </w:rPr>
          <w:t xml:space="preserve">http://www.sciencedirect.com/science/article/pii/S0959378016300681</w:t>
        </w:r>
      </w:hyperlink>
    </w:p>
    <w:bookmarkEnd w:id="67"/>
    <w:bookmarkStart w:id="69" w:name="ref-gea_gea_nodate"/>
    <w:p>
      <w:pPr>
        <w:pStyle w:val="Bibliography"/>
      </w:pPr>
      <w:r>
        <w:t xml:space="preserve">12. GEA. GEA Scenario database (public) [Internet]. [cited 2021 Jan 20]. Available from:</w:t>
      </w:r>
      <w:r>
        <w:t xml:space="preserve"> </w:t>
      </w:r>
      <w:hyperlink r:id="rId68">
        <w:r>
          <w:rPr>
            <w:rStyle w:val="Hyperlink"/>
          </w:rPr>
          <w:t xml:space="preserve">https://www.iiasa.ac.at/web-apps/ene/geadb/dsd?Action=htmlpage&amp;page=about</w:t>
        </w:r>
      </w:hyperlink>
    </w:p>
    <w:bookmarkEnd w:id="69"/>
    <w:bookmarkStart w:id="71" w:name="ref-sommer_carbon_2017"/>
    <w:p>
      <w:pPr>
        <w:pStyle w:val="Bibliography"/>
      </w:pPr>
      <w:r>
        <w:t xml:space="preserve">13. Sommer M, Kratena K. The Carbon Footprint of European Households and Income Distribution. Ecological Economics [Internet]. 2017 [cited 2020 Aug 12];136(C):62–72. Available from:</w:t>
      </w:r>
      <w:r>
        <w:t xml:space="preserve"> </w:t>
      </w:r>
      <w:hyperlink r:id="rId70">
        <w:r>
          <w:rPr>
            <w:rStyle w:val="Hyperlink"/>
          </w:rPr>
          <w:t xml:space="preserve">https://econpapers.repec.org/article/eeeecolec/v_3a136_3ay_3a2017_3ai_3ac_3ap_3a62-72.htm</w:t>
        </w:r>
      </w:hyperlink>
    </w:p>
    <w:bookmarkEnd w:id="71"/>
    <w:bookmarkStart w:id="73" w:name="ref-eurostat_eurostat_nodate-2"/>
    <w:p>
      <w:pPr>
        <w:pStyle w:val="Bibliography"/>
      </w:pPr>
      <w:r>
        <w:t xml:space="preserve">14. Eurostat. Eurostat - Data Explorer - Production of electricity and derived heat by type of fuel [Internet]. [cited 2021 Jan 22]. Available from:</w:t>
      </w:r>
      <w:r>
        <w:t xml:space="preserve"> </w:t>
      </w:r>
      <w:hyperlink r:id="rId72">
        <w:r>
          <w:rPr>
            <w:rStyle w:val="Hyperlink"/>
          </w:rPr>
          <w:t xml:space="preserve">https://appsso.eurostat.ec.europa.eu/nui/submitViewTableAction.do</w:t>
        </w:r>
      </w:hyperlink>
    </w:p>
    <w:bookmarkEnd w:id="73"/>
    <w:bookmarkStart w:id="75" w:name="ref-werner_international_2017"/>
    <w:p>
      <w:pPr>
        <w:pStyle w:val="Bibliography"/>
      </w:pPr>
      <w:r>
        <w:t xml:space="preserve">15. Werner S. International review of district heating and cooling. Energy [Internet]. 2017 Oct [cited 2020 Aug 11];137:617–31. Available from:</w:t>
      </w:r>
      <w:r>
        <w:t xml:space="preserve"> </w:t>
      </w:r>
      <w:hyperlink r:id="rId74">
        <w:r>
          <w:rPr>
            <w:rStyle w:val="Hyperlink"/>
          </w:rPr>
          <w:t xml:space="preserve">http://www.sciencedirect.com/science/article/pii/S036054421730614X</w:t>
        </w:r>
      </w:hyperlink>
    </w:p>
    <w:bookmarkEnd w:id="75"/>
    <w:bookmarkStart w:id="77" w:name="ref-ivanova_quantifying_2020"/>
    <w:p>
      <w:pPr>
        <w:pStyle w:val="Bibliography"/>
      </w:pPr>
      <w:r>
        <w:t xml:space="preserve">16. Ivanova D, Barrett J, Wiedenhofer D, Macura B, Callaghan MW, Creutzig F. Quantifying the potential for climate change mitigation of consumption options. Environmental Research Letters [Internet]. 2020 [cited 2020 Jun 30]; Available from:</w:t>
      </w:r>
      <w:r>
        <w:t xml:space="preserve"> </w:t>
      </w:r>
      <w:hyperlink r:id="rId76">
        <w:r>
          <w:rPr>
            <w:rStyle w:val="Hyperlink"/>
          </w:rPr>
          <w:t xml:space="preserve">http://iopscience.iop.org/10.1088/1748-9326/ab8589</w:t>
        </w:r>
      </w:hyperlink>
    </w:p>
    <w:bookmarkEnd w:id="77"/>
    <w:bookmarkStart w:id="79" w:name="X4d7f8dadc9cc10bd19aa1d121dc1c6e986790bb"/>
    <w:p>
      <w:pPr>
        <w:pStyle w:val="Bibliography"/>
      </w:pPr>
      <w:r>
        <w:t xml:space="preserve">17. European Commission. Communication on The European Green Deal [Internet]. European Commission - European Commission. 2019 [cited 2020 Jul 6]. Available from:</w:t>
      </w:r>
      <w:r>
        <w:t xml:space="preserve"> </w:t>
      </w:r>
      <w:hyperlink r:id="rId78">
        <w:r>
          <w:rPr>
            <w:rStyle w:val="Hyperlink"/>
          </w:rPr>
          <w:t xml:space="preserve">https://ec.europa.eu/info/publications/communication-european-green-deal_en</w:t>
        </w:r>
      </w:hyperlink>
    </w:p>
    <w:bookmarkEnd w:id="79"/>
    <w:bookmarkStart w:id="81" w:name="ref-eurostat_living_nodate"/>
    <w:p>
      <w:pPr>
        <w:pStyle w:val="Bibliography"/>
      </w:pPr>
      <w:r>
        <w:t xml:space="preserve">18. Eurostat. Living conditions in Europe - material deprivation and economic strain - Statistics Explained [Internet]. [cited 2021 Jan 23]. Available from:</w:t>
      </w:r>
      <w:r>
        <w:t xml:space="preserve"> </w:t>
      </w:r>
      <w:hyperlink r:id="rId80">
        <w:r>
          <w:rPr>
            <w:rStyle w:val="Hyperlink"/>
          </w:rPr>
          <w:t xml:space="preserve">https://ec.europa.eu/eurostat/statistics-explained/index.php?title=Living_conditions_in_Europe_-_material_deprivation_and_economic_strain</w:t>
        </w:r>
      </w:hyperlink>
    </w:p>
    <w:bookmarkEnd w:id="81"/>
    <w:bookmarkStart w:id="83" w:name="ref-bianco_understanding_2019"/>
    <w:p>
      <w:pPr>
        <w:pStyle w:val="Bibliography"/>
      </w:pPr>
      <w:r>
        <w:t xml:space="preserve">19. Bianco V, Cascetta F, Marino A, Nardini S. Understanding energy consumption and carbon emissions in Europe: A focus on inequality issues. Energy [Internet]. 2019 Mar [cited 2020 Sep 28];170:120–30. Available from:</w:t>
      </w:r>
      <w:r>
        <w:t xml:space="preserve"> </w:t>
      </w:r>
      <w:hyperlink r:id="rId82">
        <w:r>
          <w:rPr>
            <w:rStyle w:val="Hyperlink"/>
          </w:rPr>
          <w:t xml:space="preserve">http://www.sciencedirect.com/science/article/pii/S0360544218324927</w:t>
        </w:r>
      </w:hyperlink>
    </w:p>
    <w:bookmarkEnd w:id="83"/>
    <w:bookmarkStart w:id="85" w:name="ref-european_commission_european_2020"/>
    <w:p>
      <w:pPr>
        <w:pStyle w:val="Bibliography"/>
      </w:pPr>
      <w:r>
        <w:t xml:space="preserve">20. European Commission. The European Green Deal Investment Plan and JTM explained [Internet]. European Commission - European Commission. 2020 [cited 2020 Aug 7]. Available from:</w:t>
      </w:r>
      <w:r>
        <w:t xml:space="preserve"> </w:t>
      </w:r>
      <w:hyperlink r:id="rId84">
        <w:r>
          <w:rPr>
            <w:rStyle w:val="Hyperlink"/>
          </w:rPr>
          <w:t xml:space="preserve">https://ec.europa.eu/commission/presscorner/detail/en/qanda_20_24</w:t>
        </w:r>
      </w:hyperlink>
    </w:p>
    <w:bookmarkEnd w:id="85"/>
    <w:bookmarkStart w:id="86" w:name="ref-piketty_carbon_2015"/>
    <w:p>
      <w:pPr>
        <w:pStyle w:val="Bibliography"/>
      </w:pPr>
      <w:r>
        <w:t xml:space="preserve">21. Piketty T, Chancel L. Carbon and inequality: From Kyoto to Paris. Paris Sch Econ (www parisschoolofeconomics eu/en/news/carbon-and-inequality-from-kyoto-to-parischancel-piketty/). 2015;</w:t>
      </w:r>
      <w:r>
        <w:t xml:space="preserve"> </w:t>
      </w:r>
    </w:p>
    <w:bookmarkEnd w:id="86"/>
    <w:bookmarkStart w:id="88" w:name="ref-kartha_carbon_2020"/>
    <w:p>
      <w:pPr>
        <w:pStyle w:val="Bibliography"/>
      </w:pPr>
      <w:r>
        <w:t xml:space="preserve">22. Kartha S, Kemp-Benedict E, Ghosh E, Nazareth A. The Carbon Inequality Era. 2020 Sep [cited 2020 Sep 28]; Available from:</w:t>
      </w:r>
      <w:r>
        <w:t xml:space="preserve"> </w:t>
      </w:r>
      <w:hyperlink r:id="rId87">
        <w:r>
          <w:rPr>
            <w:rStyle w:val="Hyperlink"/>
          </w:rPr>
          <w:t xml:space="preserve">https://www.sei.org/publications/the-carbon-inequality-era/</w:t>
        </w:r>
      </w:hyperlink>
    </w:p>
    <w:bookmarkEnd w:id="88"/>
    <w:bookmarkStart w:id="89" w:name="ref-gore_extreme_2015"/>
    <w:p>
      <w:pPr>
        <w:pStyle w:val="Bibliography"/>
      </w:pPr>
      <w:r>
        <w:t xml:space="preserve">23. Gore T. Extreme Carbon Inequality: Why the Paris climate deal must put the poorest, lowest emitting and most vulnerable people first. 2015;</w:t>
      </w:r>
      <w:r>
        <w:t xml:space="preserve"> </w:t>
      </w:r>
    </w:p>
    <w:bookmarkEnd w:id="89"/>
    <w:bookmarkStart w:id="91" w:name="ref-hubacek_global_2017"/>
    <w:p>
      <w:pPr>
        <w:pStyle w:val="Bibliography"/>
      </w:pPr>
      <w:r>
        <w:t xml:space="preserve">24. Hubacek K, Baiocchi G, Feng K, Muñoz Castillo R, Sun L, Xue J. Global carbon inequality. Energy, Ecology and Environment [Internet]. 2017 Dec [cited 2019 Jul 16];2(6):361–9. Available from:</w:t>
      </w:r>
      <w:r>
        <w:t xml:space="preserve"> </w:t>
      </w:r>
      <w:hyperlink r:id="rId90">
        <w:r>
          <w:rPr>
            <w:rStyle w:val="Hyperlink"/>
          </w:rPr>
          <w:t xml:space="preserve">https://doi.org/10.1007/s40974-017-0072-9</w:t>
        </w:r>
      </w:hyperlink>
    </w:p>
    <w:bookmarkEnd w:id="91"/>
    <w:bookmarkStart w:id="93" w:name="ref-gore_t._confronting_2020"/>
    <w:p>
      <w:pPr>
        <w:pStyle w:val="Bibliography"/>
      </w:pPr>
      <w:r>
        <w:t xml:space="preserve">25. Gore, T., Alestig, M. Confronting carbon inequality in the European Union [Internet]. 2020 [cited 2021 Jan 21]. Available from:</w:t>
      </w:r>
      <w:r>
        <w:t xml:space="preserve"> </w:t>
      </w:r>
      <w:hyperlink r:id="rId92">
        <w:r>
          <w:rPr>
            <w:rStyle w:val="Hyperlink"/>
          </w:rPr>
          <w:t xml:space="preserve">https://www.oxfam.org/en/research/confronting-carbon-inequality-european-union</w:t>
        </w:r>
      </w:hyperlink>
    </w:p>
    <w:bookmarkEnd w:id="93"/>
    <w:bookmarkStart w:id="95" w:name="ref-wiedenhofer_unequal_2017"/>
    <w:p>
      <w:pPr>
        <w:pStyle w:val="Bibliography"/>
      </w:pPr>
      <w:r>
        <w:t xml:space="preserve">26. Wiedenhofer D, Guan D, Liu Z, Meng J, Zhang N, Wei Y-M. Unequal household carbon footprints in China. Nature Climate Change [Internet]. 2017 Jan [cited 2020 Jul 7];7:75–80. Available from:</w:t>
      </w:r>
      <w:r>
        <w:t xml:space="preserve"> </w:t>
      </w:r>
      <w:hyperlink r:id="rId94">
        <w:r>
          <w:rPr>
            <w:rStyle w:val="Hyperlink"/>
          </w:rPr>
          <w:t xml:space="preserve">https://resolver.caltech.edu/CaltechAUTHORS:20161027-112645545</w:t>
        </w:r>
      </w:hyperlink>
    </w:p>
    <w:bookmarkEnd w:id="95"/>
    <w:bookmarkStart w:id="97" w:name="ref-golley_income_2012"/>
    <w:p>
      <w:pPr>
        <w:pStyle w:val="Bibliography"/>
      </w:pPr>
      <w:r>
        <w:t xml:space="preserve">27. Golley J, Meng X. Income inequality and carbon dioxide emissions: The case of Chinese urban households. Energy Economics [Internet]. 2012 Nov [cited 2020 Sep 30];34(6):1864–72. Available from:</w:t>
      </w:r>
      <w:r>
        <w:t xml:space="preserve"> </w:t>
      </w:r>
      <w:hyperlink r:id="rId96">
        <w:r>
          <w:rPr>
            <w:rStyle w:val="Hyperlink"/>
          </w:rPr>
          <w:t xml:space="preserve">http://www.sciencedirect.com/science/article/pii/S0140988312001697</w:t>
        </w:r>
      </w:hyperlink>
    </w:p>
    <w:bookmarkEnd w:id="97"/>
    <w:bookmarkStart w:id="99" w:name="ref-steenolsen_carbon_2016"/>
    <w:p>
      <w:pPr>
        <w:pStyle w:val="Bibliography"/>
      </w:pPr>
      <w:r>
        <w:t xml:space="preserve">28. Steen‐Olsen K, Wood R, Hertwich EG. The Carbon Footprint of Norwegian Household Consumption 1999–2012. Journal of Industrial Ecology [Internet]. 2016 [cited 2020 Aug 28];20(3):582–92. Available from:</w:t>
      </w:r>
      <w:r>
        <w:t xml:space="preserve"> </w:t>
      </w:r>
      <w:hyperlink r:id="rId98">
        <w:r>
          <w:rPr>
            <w:rStyle w:val="Hyperlink"/>
          </w:rPr>
          <w:t xml:space="preserve">https://onlinelibrary.wiley.com/doi/abs/10.1111/jiec.12405</w:t>
        </w:r>
      </w:hyperlink>
    </w:p>
    <w:bookmarkEnd w:id="99"/>
    <w:bookmarkStart w:id="101" w:name="ref-weber_quantifying_2008"/>
    <w:p>
      <w:pPr>
        <w:pStyle w:val="Bibliography"/>
      </w:pPr>
      <w:r>
        <w:t xml:space="preserve">29. Weber CL, Matthews HS. Quantifying the global and distributional aspects of American household carbon footprint. Ecological Economics [Internet]. 2008 Jun [cited 2013 Sep 16];66(2–3):379–91. Available from:</w:t>
      </w:r>
      <w:r>
        <w:t xml:space="preserve"> </w:t>
      </w:r>
      <w:hyperlink r:id="rId100">
        <w:r>
          <w:rPr>
            <w:rStyle w:val="Hyperlink"/>
          </w:rPr>
          <w:t xml:space="preserve">http://www.sciencedirect.com/science/article/pii/S0921800907004934</w:t>
        </w:r>
      </w:hyperlink>
    </w:p>
    <w:bookmarkEnd w:id="101"/>
    <w:bookmarkStart w:id="103" w:name="ref-hardadi_implications_2020"/>
    <w:p>
      <w:pPr>
        <w:pStyle w:val="Bibliography"/>
      </w:pPr>
      <w:r>
        <w:t xml:space="preserve">30.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102">
        <w:r>
          <w:rPr>
            <w:rStyle w:val="Hyperlink"/>
          </w:rPr>
          <w:t xml:space="preserve">https://onlinelibrary.wiley.com/doi/abs/10.1111/jiec.13045</w:t>
        </w:r>
      </w:hyperlink>
    </w:p>
    <w:bookmarkEnd w:id="103"/>
    <w:bookmarkStart w:id="105" w:name="ref-berthe_mechanisms_2015"/>
    <w:p>
      <w:pPr>
        <w:pStyle w:val="Bibliography"/>
      </w:pPr>
      <w:r>
        <w:t xml:space="preserve">31. Berthe A, Elie L. Mechanisms explaining the impact of economic inequality on environmental deterioration. Ecological Economics [Internet]. 2015 [cited 2019 Dec 18];116(Complete):191–200. Available from:</w:t>
      </w:r>
      <w:r>
        <w:t xml:space="preserve"> </w:t>
      </w:r>
      <w:hyperlink r:id="rId104">
        <w:r>
          <w:rPr>
            <w:rStyle w:val="Hyperlink"/>
          </w:rPr>
          <w:t xml:space="preserve">http://journals.scholarsportal.info/detailsundefined</w:t>
        </w:r>
      </w:hyperlink>
    </w:p>
    <w:bookmarkEnd w:id="105"/>
    <w:bookmarkStart w:id="107" w:name="ref-scruggs_political_1998"/>
    <w:p>
      <w:pPr>
        <w:pStyle w:val="Bibliography"/>
      </w:pPr>
      <w:r>
        <w:t xml:space="preserve">32. Scruggs L. Political and economic inequality and the environment. Ecological Economics [Internet]. 1998 [cited 2020 Jan 15];26(3):259–75. Available from:</w:t>
      </w:r>
      <w:r>
        <w:t xml:space="preserve"> </w:t>
      </w:r>
      <w:hyperlink r:id="rId106">
        <w:r>
          <w:rPr>
            <w:rStyle w:val="Hyperlink"/>
          </w:rPr>
          <w:t xml:space="preserve">https://econpapers.repec.org/article/eeeecolec/v_3a26_3ay_3a1998_3ai_3a3_3ap_3a259-275.htm</w:t>
        </w:r>
      </w:hyperlink>
    </w:p>
    <w:bookmarkEnd w:id="107"/>
    <w:bookmarkStart w:id="109" w:name="ref-kerkhof_determinants_2009"/>
    <w:p>
      <w:pPr>
        <w:pStyle w:val="Bibliography"/>
      </w:pPr>
      <w:r>
        <w:t xml:space="preserve">33. Kerkhof AC, Benders RMJ, Moll HC. Determinants of variation in household CO2 emissions between and within countries. Energy Policy [Internet]. 2009 [cited 2020 Jul 13];37(4):1509–17. Available from:</w:t>
      </w:r>
      <w:r>
        <w:t xml:space="preserve"> </w:t>
      </w:r>
      <w:hyperlink r:id="rId108">
        <w:r>
          <w:rPr>
            <w:rStyle w:val="Hyperlink"/>
          </w:rPr>
          <w:t xml:space="preserve">https://econpapers.repec.org/article/eeeenepol/v_3a37_3ay_3a2009_3ai_3a4_3ap_3a1509-1517.htm</w:t>
        </w:r>
      </w:hyperlink>
    </w:p>
    <w:bookmarkEnd w:id="109"/>
    <w:bookmarkStart w:id="111" w:name="ref-royston_invisible_2018"/>
    <w:p>
      <w:pPr>
        <w:pStyle w:val="Bibliography"/>
      </w:pPr>
      <w:r>
        <w:t xml:space="preserve">34. Royston S, Selby J, Shove E. Invisible energy policies: A new agenda for energy demand reduction. Energy Policy [Internet]. 2018 Dec [cited 2019 Jan 31];123:127–35. Available from:</w:t>
      </w:r>
      <w:r>
        <w:t xml:space="preserve"> </w:t>
      </w:r>
      <w:hyperlink r:id="rId110">
        <w:r>
          <w:rPr>
            <w:rStyle w:val="Hyperlink"/>
          </w:rPr>
          <w:t xml:space="preserve">https://linkinghub.elsevier.com/retrieve/pii/S0301421518305810</w:t>
        </w:r>
      </w:hyperlink>
    </w:p>
    <w:bookmarkEnd w:id="111"/>
    <w:bookmarkStart w:id="113" w:name="ref-hubacek_poverty_2017"/>
    <w:p>
      <w:pPr>
        <w:pStyle w:val="Bibliography"/>
      </w:pPr>
      <w:r>
        <w:t xml:space="preserve">35. Hubacek K, Baiocchi G, Feng K, Patwardhan A. Poverty eradication in a carbon constrained world. Nature Communications [Internet]. 2017 Oct [cited 2020 Apr 23];8(1):1–9. Available from:</w:t>
      </w:r>
      <w:r>
        <w:t xml:space="preserve"> </w:t>
      </w:r>
      <w:hyperlink r:id="rId112">
        <w:r>
          <w:rPr>
            <w:rStyle w:val="Hyperlink"/>
          </w:rPr>
          <w:t xml:space="preserve">https://www.nature.com/articles/s41467-017-00919-4</w:t>
        </w:r>
      </w:hyperlink>
    </w:p>
    <w:bookmarkEnd w:id="113"/>
    <w:bookmarkStart w:id="115" w:name="ref-woodward_incrementum_2015"/>
    <w:p>
      <w:pPr>
        <w:pStyle w:val="Bibliography"/>
      </w:pPr>
      <w:r>
        <w:t xml:space="preserve">36. Woodward D. Incrementum ad Absurdum: Global Growth, Inequality and Poverty Eradication in a Carbon-Constrained World. World Social and Economic Review [Internet]. 2015 Feb [cited 2019 Mar 5];2015(No 4, 2015):43. Available from:</w:t>
      </w:r>
      <w:r>
        <w:t xml:space="preserve"> </w:t>
      </w:r>
      <w:hyperlink r:id="rId114">
        <w:r>
          <w:rPr>
            <w:rStyle w:val="Hyperlink"/>
          </w:rPr>
          <w:t xml:space="preserve">http://wer.worldeconomicsassociation.org/papers/incrementum-ad-absurdum-global-growth-inequality-and-poverty-eradication-in-a-carbon-constrained-world/</w:t>
        </w:r>
      </w:hyperlink>
    </w:p>
    <w:bookmarkEnd w:id="115"/>
    <w:bookmarkStart w:id="117" w:name="ref-alfredsson_why_2018"/>
    <w:p>
      <w:pPr>
        <w:pStyle w:val="Bibliography"/>
      </w:pPr>
      <w:r>
        <w:t xml:space="preserve">37.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16">
        <w:r>
          <w:rPr>
            <w:rStyle w:val="Hyperlink"/>
          </w:rPr>
          <w:t xml:space="preserve">https://doi.org/10.1080/15487733.2018.1458815</w:t>
        </w:r>
      </w:hyperlink>
    </w:p>
    <w:bookmarkEnd w:id="117"/>
    <w:bookmarkStart w:id="119" w:name="ref-gough_recomposing_2017"/>
    <w:p>
      <w:pPr>
        <w:pStyle w:val="Bibliography"/>
      </w:pPr>
      <w:r>
        <w:t xml:space="preserve">38.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18">
        <w:r>
          <w:rPr>
            <w:rStyle w:val="Hyperlink"/>
          </w:rPr>
          <w:t xml:space="preserve">https://royalsocietypublishing.org/doi/full/10.1098/rsta.2016.0379</w:t>
        </w:r>
      </w:hyperlink>
    </w:p>
    <w:bookmarkEnd w:id="119"/>
    <w:bookmarkEnd w:id="120"/>
    <w:p>
      <w:r>
        <w:br w:type="page"/>
      </w:r>
    </w:p>
    <w:p>
      <w:pPr>
        <w:pStyle w:val="Heading3"/>
      </w:pPr>
      <w:bookmarkStart w:id="121" w:name="colophon"/>
      <w:r>
        <w:t xml:space="preserve">Colophon</w:t>
      </w:r>
      <w:bookmarkEnd w:id="121"/>
    </w:p>
    <w:p>
      <w:pPr>
        <w:pStyle w:val="FirstParagraph"/>
      </w:pPr>
      <w:r>
        <w:t xml:space="preserve">This report was generated on 2021-02-09 12:22:45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2021-02-09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[eef3330] 2021-02-09: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76" Target="http://iopscience.iop.org/10.1088/1748-9326/ab8589" TargetMode="External" /><Relationship Type="http://schemas.openxmlformats.org/officeDocument/2006/relationships/hyperlink" Id="rId104" Target="http://journals.scholarsportal.info/detailsundefined" TargetMode="External" /><Relationship Type="http://schemas.openxmlformats.org/officeDocument/2006/relationships/hyperlink" Id="rId114"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96" Target="http://www.sciencedirect.com/science/article/pii/S0140988312001697" TargetMode="External" /><Relationship Type="http://schemas.openxmlformats.org/officeDocument/2006/relationships/hyperlink" Id="rId74"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100" Target="http://www.sciencedirect.com/science/article/pii/S0921800907004934" TargetMode="External" /><Relationship Type="http://schemas.openxmlformats.org/officeDocument/2006/relationships/hyperlink" Id="rId66"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2" Target="https://appsso.eurostat.ec.europa.eu/nui/submitViewTableAction.do" TargetMode="External" /><Relationship Type="http://schemas.openxmlformats.org/officeDocument/2006/relationships/hyperlink" Id="rId90" Target="https://doi.org/10.1007/s40974-017-0072-9" TargetMode="External" /><Relationship Type="http://schemas.openxmlformats.org/officeDocument/2006/relationships/hyperlink" Id="rId116" Target="https://doi.org/10.1080/15487733.2018.1458815"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4"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78" Target="https://ec.europa.eu/info/publications/communication-european-green-deal_en" TargetMode="External" /><Relationship Type="http://schemas.openxmlformats.org/officeDocument/2006/relationships/hyperlink" Id="rId70" Target="https://econpapers.repec.org/article/eeeecolec/v_3a136_3ay_3a2017_3ai_3ac_3ap_3a62-72.htm" TargetMode="External" /><Relationship Type="http://schemas.openxmlformats.org/officeDocument/2006/relationships/hyperlink" Id="rId106" Target="https://econpapers.repec.org/article/eeeecolec/v_3a26_3ay_3a1998_3ai_3a3_3ap_3a259-275.htm" TargetMode="External" /><Relationship Type="http://schemas.openxmlformats.org/officeDocument/2006/relationships/hyperlink" Id="rId108" Target="https://econpapers.repec.org/article/eeeenepol/v_3a37_3ay_3a2009_3ai_3a4_3ap_3a1509-1517.htm" TargetMode="External" /><Relationship Type="http://schemas.openxmlformats.org/officeDocument/2006/relationships/hyperlink" Id="rId110"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98"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2"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4" Target="https://resolver.caltech.edu/CaltechAUTHORS:20161027-112645545" TargetMode="External" /><Relationship Type="http://schemas.openxmlformats.org/officeDocument/2006/relationships/hyperlink" Id="rId118" Target="https://royalsocietypublishing.org/doi/full/10.1098/rsta.2016.0379"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8" Target="https://www.iiasa.ac.at/web-apps/ene/geadb/dsd?Action=htmlpage&amp;page=about" TargetMode="External" /><Relationship Type="http://schemas.openxmlformats.org/officeDocument/2006/relationships/hyperlink" Id="rId112"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2" Target="https://www.oxfam.org/en/research/confronting-carbon-inequality-european-union" TargetMode="External" /><Relationship Type="http://schemas.openxmlformats.org/officeDocument/2006/relationships/hyperlink" Id="rId87"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76" Target="http://iopscience.iop.org/10.1088/1748-9326/ab8589" TargetMode="External" /><Relationship Type="http://schemas.openxmlformats.org/officeDocument/2006/relationships/hyperlink" Id="rId104" Target="http://journals.scholarsportal.info/detailsundefined" TargetMode="External" /><Relationship Type="http://schemas.openxmlformats.org/officeDocument/2006/relationships/hyperlink" Id="rId114"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96" Target="http://www.sciencedirect.com/science/article/pii/S0140988312001697" TargetMode="External" /><Relationship Type="http://schemas.openxmlformats.org/officeDocument/2006/relationships/hyperlink" Id="rId74"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100" Target="http://www.sciencedirect.com/science/article/pii/S0921800907004934" TargetMode="External" /><Relationship Type="http://schemas.openxmlformats.org/officeDocument/2006/relationships/hyperlink" Id="rId66"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2" Target="https://appsso.eurostat.ec.europa.eu/nui/submitViewTableAction.do" TargetMode="External" /><Relationship Type="http://schemas.openxmlformats.org/officeDocument/2006/relationships/hyperlink" Id="rId90" Target="https://doi.org/10.1007/s40974-017-0072-9" TargetMode="External" /><Relationship Type="http://schemas.openxmlformats.org/officeDocument/2006/relationships/hyperlink" Id="rId116" Target="https://doi.org/10.1080/15487733.2018.1458815"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4"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78" Target="https://ec.europa.eu/info/publications/communication-european-green-deal_en" TargetMode="External" /><Relationship Type="http://schemas.openxmlformats.org/officeDocument/2006/relationships/hyperlink" Id="rId70" Target="https://econpapers.repec.org/article/eeeecolec/v_3a136_3ay_3a2017_3ai_3ac_3ap_3a62-72.htm" TargetMode="External" /><Relationship Type="http://schemas.openxmlformats.org/officeDocument/2006/relationships/hyperlink" Id="rId106" Target="https://econpapers.repec.org/article/eeeecolec/v_3a26_3ay_3a1998_3ai_3a3_3ap_3a259-275.htm" TargetMode="External" /><Relationship Type="http://schemas.openxmlformats.org/officeDocument/2006/relationships/hyperlink" Id="rId108" Target="https://econpapers.repec.org/article/eeeenepol/v_3a37_3ay_3a2009_3ai_3a4_3ap_3a1509-1517.htm" TargetMode="External" /><Relationship Type="http://schemas.openxmlformats.org/officeDocument/2006/relationships/hyperlink" Id="rId110"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98"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2"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4" Target="https://resolver.caltech.edu/CaltechAUTHORS:20161027-112645545" TargetMode="External" /><Relationship Type="http://schemas.openxmlformats.org/officeDocument/2006/relationships/hyperlink" Id="rId118" Target="https://royalsocietypublishing.org/doi/full/10.1098/rsta.2016.0379"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8" Target="https://www.iiasa.ac.at/web-apps/ene/geadb/dsd?Action=htmlpage&amp;page=about" TargetMode="External" /><Relationship Type="http://schemas.openxmlformats.org/officeDocument/2006/relationships/hyperlink" Id="rId112"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2" Target="https://www.oxfam.org/en/research/confronting-carbon-inequality-european-union" TargetMode="External" /><Relationship Type="http://schemas.openxmlformats.org/officeDocument/2006/relationships/hyperlink" Id="rId87"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 degree compatible and just Europe</dc:title>
  <dc:creator>Ingram S. Jaccard1, Peter-Paul Pichler1, Johannes Többen1,3, and Helga Weisz1,2</dc:creator>
  <cp:keywords/>
  <dcterms:created xsi:type="dcterms:W3CDTF">2021-02-09T11:22:48Z</dcterms:created>
  <dcterms:modified xsi:type="dcterms:W3CDTF">2021-02-09T11:22:48Z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