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w:t>
      </w:r>
      <w:r>
        <w:t xml:space="preserve"> </w:t>
      </w:r>
      <w:r>
        <w:t xml:space="preserve">(4)</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 (</w:t>
      </w:r>
      <w:r>
        <w:t xml:space="preserve">(5)</w:t>
      </w:r>
      <w:r>
        <w:t xml:space="preserve"> </w:t>
      </w:r>
      <w:r>
        <w:t xml:space="preserve">(p.73-79)]: 28 for CH4, 265 for N2O and 23500 for SF6 (HFCs and PFCs are in CO2-equivalence already in the EXIOBASE satellite extensions).</w:t>
      </w:r>
    </w:p>
    <w:p>
      <w:pPr>
        <w:pStyle w:val="BodyText"/>
      </w:pPr>
      <w:r>
        <w:t xml:space="preserve">Gross total energy use… (</w:t>
      </w:r>
      <w:r>
        <w:t xml:space="preserve">‘</w:t>
      </w:r>
      <w:r>
        <w:t xml:space="preserve">Energy Carrier Use: Total</w:t>
      </w:r>
      <w:r>
        <w:t xml:space="preserve">’</w:t>
      </w:r>
      <w:r>
        <w:t xml:space="preserve"> </w:t>
      </w:r>
      <w:r>
        <w:t xml:space="preserve">(TJ))</w:t>
      </w:r>
    </w:p>
    <w:p>
      <w:pPr>
        <w:pStyle w:val="BodyText"/>
      </w:pPr>
      <w:r>
        <w:t xml:space="preserve">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(6)</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(7)</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(8)</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(9)</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(10)</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(11)</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(12)</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w:t>
      </w:r>
      <w:r>
        <w:t xml:space="preserve"> </w:t>
      </w:r>
      <w:r>
        <w:t xml:space="preserve">multiplied by EE-MRIO household final demand expenditure vector to</w:t>
      </w:r>
      <w:r>
        <w:t xml:space="preserve"> </w:t>
      </w:r>
      <w:r>
        <w:t xml:space="preserve">calculate EE-MRIO household final demand expenditure per</w:t>
      </w:r>
      <w:r>
        <w:t xml:space="preserve"> </w:t>
      </w:r>
      <w:r>
        <w:t xml:space="preserve">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037"/>
        <w:gridCol w:w="1037"/>
        <w:gridCol w:w="1037"/>
        <w:gridCol w:w="1037"/>
        <w:gridCol w:w="1037"/>
        <w:gridCol w:w="1439"/>
        <w:gridCol w:w="675"/>
        <w:gridCol w:w="675"/>
        <w:gridCol w:w="675"/>
        <w:gridCol w:w="675"/>
        <w:gridCol w:w="675"/>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w:t>
      </w:r>
      <w:r>
        <w:t xml:space="preserve"> </w:t>
      </w:r>
      <w:r>
        <w:t xml:space="preserve">footprint decomposed by income quintile, through multiplication of</w:t>
      </w:r>
      <w:r>
        <w:t xml:space="preserve"> </w:t>
      </w:r>
      <w:r>
        <w:t xml:space="preserve">EE-MRIO household final demand expenditure per income quintile and</w:t>
      </w:r>
      <w:r>
        <w:t xml:space="preserve"> </w:t>
      </w:r>
      <w:r>
        <w:t xml:space="preserve">sector by the total intensity vector (TIV) calculated in the EE-MRIO</w:t>
      </w:r>
      <w:r>
        <w:t xml:space="preserve"> </w:t>
      </w:r>
      <w:r>
        <w:t xml:space="preserve">(with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439"/>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w:t>
      </w:r>
      <w:r>
        <w:t xml:space="preserve"> </w:t>
      </w:r>
      <w:r>
        <w:t xml:space="preserve">production sectors to COICOP consumption categories and</w:t>
      </w:r>
      <w:r>
        <w:t xml:space="preserve"> </w:t>
      </w:r>
      <w:r>
        <w:t xml:space="preserve">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836"/>
        <w:gridCol w:w="1637"/>
        <w:gridCol w:w="1829"/>
      </w:tblGrid>
      <w:tr>
        <w:trPr>
          <w:cantSplit/>
          <w:trHeight w:val="257"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aggregate consumption category</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Table S5 shows the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p>
      <w:pPr>
        <w:pStyle w:val="Compact"/>
      </w:pPr>
      <w:r>
        <w:t xml:space="preserve">Table 5: Country and year</w:t>
      </w:r>
      <w:r>
        <w:t xml:space="preserve"> </w:t>
      </w:r>
      <w:r>
        <w:t xml:space="preserve">coverage between EXIOBASE and the EUROSTAT HBS. Rows with black</w:t>
      </w:r>
      <w:r>
        <w:t xml:space="preserve"> </w:t>
      </w:r>
      <w:r>
        <w:t xml:space="preserve">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w:t>
      </w:r>
      <w:r>
        <w:t xml:space="preserve"> </w:t>
      </w:r>
      <w:r>
        <w:t xml:space="preserve">Rows with red text show countries where EUROSTAT HBS data exists,</w:t>
      </w:r>
      <w:r>
        <w:t xml:space="preserve"> </w:t>
      </w:r>
      <w:r>
        <w:t xml:space="preserve">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bl>
    <w:p>
      <w:pPr>
        <w:pStyle w:val="Heading2"/>
      </w:pPr>
      <w:bookmarkStart w:id="33" w:name="limitations"/>
      <w:r>
        <w:t xml:space="preserve">Limitations</w:t>
      </w:r>
      <w:bookmarkEnd w:id="33"/>
    </w:p>
    <w:p>
      <w:pPr>
        <w:pStyle w:val="FirstParagraph"/>
      </w:pPr>
      <w:r>
        <w:t xml:space="preserve">Where do I say why we chose EXIOBASE? (also quick mention in main paper methods)</w:t>
      </w:r>
    </w:p>
    <w:p>
      <w:pPr>
        <w:pStyle w:val="BodyText"/>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(13)</w:t>
      </w:r>
      <w:r>
        <w:t xml:space="preserve">. Some types of households may also be excluded from the samples, including super-rich households, for example Germany, which excludes households with over €18,000 monthly net income</w:t>
      </w:r>
      <w:r>
        <w:t xml:space="preserve"> </w:t>
      </w:r>
      <w:r>
        <w:t xml:space="preserve">(13)</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(13)</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There are also well known limitations when using and selecting an EE-MRIO</w:t>
      </w:r>
      <w:r>
        <w:t xml:space="preserve"> </w:t>
      </w:r>
      <w:r>
        <w:t xml:space="preserve">(14)</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w:t>
      </w:r>
      <w:r>
        <w:t xml:space="preserve"> </w:t>
      </w:r>
      <w:r>
        <w:t xml:space="preserve">with base price shares of purchaser price per sector, and</w:t>
      </w:r>
      <w:r>
        <w:t xml:space="preserve"> </w:t>
      </w:r>
      <w:r>
        <w:t xml:space="preserve">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quintile in base price and</w:t>
      </w:r>
      <w:r>
        <w:t xml:space="preserve"> </w:t>
      </w:r>
      <w:r>
        <w:t xml:space="preserve">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1053"/>
        <w:gridCol w:w="1459"/>
        <w:gridCol w:w="1526"/>
        <w:gridCol w:w="1459"/>
        <w:gridCol w:w="1526"/>
        <w:gridCol w:w="1141"/>
        <w:gridCol w:w="1141"/>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889</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824</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750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667</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1115"/>
        <w:gridCol w:w="1115"/>
        <w:gridCol w:w="1115"/>
        <w:gridCol w:w="1115"/>
        <w:gridCol w:w="1115"/>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Those countries with data in 2005, 2010 and 2015.</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(15)</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w:t>
      </w:r>
      <w:r>
        <w:t xml:space="preserve"> </w:t>
      </w:r>
      <w:r>
        <w:t xml:space="preserve">with base price shares of purchaser price per sector, and</w:t>
      </w:r>
      <w:r>
        <w:t xml:space="preserve"> </w:t>
      </w:r>
      <w:r>
        <w:t xml:space="preserve">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84"/>
        <w:gridCol w:w="633"/>
        <w:gridCol w:w="701"/>
        <w:gridCol w:w="701"/>
        <w:gridCol w:w="948"/>
        <w:gridCol w:w="1907"/>
        <w:gridCol w:w="1171"/>
        <w:gridCol w:w="948"/>
        <w:gridCol w:w="1907"/>
        <w:gridCol w:w="1171"/>
      </w:tblGrid>
      <w:tr>
        <w:trPr>
          <w:cantSplit/>
          <w:trHeight w:val="29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 bp)</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r>
      <w:tr>
        <w:trPr>
          <w:cantSplit/>
          <w:trHeight w:val="29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r>
    </w:tbl>
    <w:p>
      <w:pPr>
        <w:pStyle w:val="Compact"/>
      </w:pPr>
      <w:r>
        <w:t xml:space="preserve">Table 10: Income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income quintile in base price and</w:t>
      </w:r>
      <w:r>
        <w:t xml:space="preserve"> </w:t>
      </w:r>
      <w:r>
        <w:t xml:space="preserve">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w:t>
      </w:r>
      <w:r>
        <w:t xml:space="preserve"> </w:t>
      </w:r>
      <w:r>
        <w:t xml:space="preserve">with total EE-MRIO household final demand in purchaser price</w:t>
      </w:r>
      <w:r>
        <w:t xml:space="preserve"> </w:t>
      </w:r>
      <w:r>
        <w:t xml:space="preserve">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w:t>
      </w:r>
      <w:r>
        <w:t xml:space="preserve"> </w:t>
      </w:r>
      <w:r>
        <w:t xml:space="preserve">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w:t>
      </w:r>
      <w:r>
        <w:t xml:space="preserve"> </w:t>
      </w:r>
      <w:r>
        <w:t xml:space="preserve">final demand per quintile and sector multiplied by the TIV to</w:t>
      </w:r>
      <w:r>
        <w:t xml:space="preserve"> </w:t>
      </w:r>
      <w:r>
        <w:t xml:space="preserve">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7" w:name="references"/>
      <w:r>
        <w:t xml:space="preserve">References</w:t>
      </w:r>
      <w:bookmarkEnd w:id="47"/>
    </w:p>
    <w:bookmarkStart w:id="70" w:name="refs"/>
    <w:bookmarkStart w:id="49"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48">
        <w:r>
          <w:rPr>
            <w:rStyle w:val="Hyperlink"/>
          </w:rPr>
          <w:t xml:space="preserve">https://onlinelibrary.wiley.com/doi/abs/10.1111/jiec.12715</w:t>
        </w:r>
      </w:hyperlink>
    </w:p>
    <w:bookmarkEnd w:id="49"/>
    <w:bookmarkStart w:id="50"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0"/>
    <w:bookmarkStart w:id="51"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1"/>
    <w:bookmarkStart w:id="52" w:name="ref-miller_input-output_1985"/>
    <w:p>
      <w:pPr>
        <w:pStyle w:val="Bibliography"/>
      </w:pPr>
      <w:r>
        <w:t xml:space="preserve">4. Miller RE, Blair PD. Input-output analysis: Foundations and extensions. Englewood Cliffs, N.J: Prentice-Hall; 1985.</w:t>
      </w:r>
      <w:r>
        <w:t xml:space="preserve"> </w:t>
      </w:r>
    </w:p>
    <w:bookmarkEnd w:id="52"/>
    <w:bookmarkStart w:id="53" w:name="ref-myhre_g._anthropogenic_2013"/>
    <w:p>
      <w:pPr>
        <w:pStyle w:val="Bibliography"/>
      </w:pPr>
      <w:r>
        <w:t xml:space="preserve">5.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53"/>
    <w:bookmarkStart w:id="54" w:name="ref-eurostat_manual_2015"/>
    <w:p>
      <w:pPr>
        <w:pStyle w:val="Bibliography"/>
      </w:pPr>
      <w:r>
        <w:t xml:space="preserve">6. Eurostat. Manual for air emission accounts. 2015.</w:t>
      </w:r>
      <w:r>
        <w:t xml:space="preserve"> </w:t>
      </w:r>
    </w:p>
    <w:bookmarkEnd w:id="54"/>
    <w:bookmarkStart w:id="55" w:name="ref-eurostat_eurostat_2020"/>
    <w:p>
      <w:pPr>
        <w:pStyle w:val="Bibliography"/>
      </w:pPr>
      <w:r>
        <w:t xml:space="preserve">7.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55"/>
    <w:bookmarkStart w:id="56" w:name="ref-eurostat_eurostat_nodate"/>
    <w:p>
      <w:pPr>
        <w:pStyle w:val="Bibliography"/>
      </w:pPr>
      <w:r>
        <w:t xml:space="preserve">8.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56"/>
    <w:bookmarkStart w:id="58" w:name="ref-eurostat_description_2016"/>
    <w:p>
      <w:pPr>
        <w:pStyle w:val="Bibliography"/>
      </w:pPr>
      <w:r>
        <w:t xml:space="preserve">9. Eurostat. Description of the data transmission for the Household Budget Survey (HBS) for the Reference Year 2015 Version: 3 [Internet]. 2016. Available from:</w:t>
      </w:r>
      <w:r>
        <w:t xml:space="preserve"> </w:t>
      </w:r>
      <w:hyperlink r:id="rId57">
        <w:r>
          <w:rPr>
            <w:rStyle w:val="Hyperlink"/>
          </w:rPr>
          <w:t xml:space="preserve">https://ec.europa.eu/eurostat/documents/54431/1966394/HBS2015_Transmission_DOC_V3.2018_05_22.pdf</w:t>
        </w:r>
      </w:hyperlink>
    </w:p>
    <w:bookmarkEnd w:id="58"/>
    <w:bookmarkStart w:id="60" w:name="ref-eurostat_eurostat_nodate-1"/>
    <w:p>
      <w:pPr>
        <w:pStyle w:val="Bibliography"/>
      </w:pPr>
      <w:r>
        <w:t xml:space="preserve">10. Eurostat. Eurostat - Data Explorer - Number of private households by household composition, number of children and age of youngest child (1 000) [Internet]. [cited 2021 Jan 20]. Available from:</w:t>
      </w:r>
      <w:r>
        <w:t xml:space="preserve"> </w:t>
      </w:r>
      <w:hyperlink r:id="rId59">
        <w:r>
          <w:rPr>
            <w:rStyle w:val="Hyperlink"/>
          </w:rPr>
          <w:t xml:space="preserve">https://appsso.eurostat.ec.europa.eu/nui/show.do?dataset=lfst_hhnhtych&amp;lang=en</w:t>
        </w:r>
      </w:hyperlink>
    </w:p>
    <w:bookmarkEnd w:id="60"/>
    <w:bookmarkStart w:id="62" w:name="ref-statistics_norway_10986:_nodate"/>
    <w:p>
      <w:pPr>
        <w:pStyle w:val="Bibliography"/>
      </w:pPr>
      <w:r>
        <w:t xml:space="preserve">11. Statistics Norway. 10986: Private households and persons in private households, by type of household (C) 2005 - 2020 [Internet]. PX-Web SSB. [cited 2021 Jan 20]. Available from:</w:t>
      </w:r>
      <w:r>
        <w:t xml:space="preserve"> </w:t>
      </w:r>
      <w:hyperlink r:id="rId61">
        <w:r>
          <w:rPr>
            <w:rStyle w:val="Hyperlink"/>
          </w:rPr>
          <w:t xml:space="preserve">http://www.ssb.no/en/statbanken/statbank/table/10986/</w:t>
        </w:r>
      </w:hyperlink>
    </w:p>
    <w:bookmarkEnd w:id="62"/>
    <w:bookmarkStart w:id="64" w:name="ref-oswald_large_2020"/>
    <w:p>
      <w:pPr>
        <w:pStyle w:val="Bibliography"/>
      </w:pPr>
      <w:r>
        <w:t xml:space="preserve">12. Oswald Y, Owen A, Steinberger JK. Large inequality in international and intranational energy footprints between income groups and across consumption categories. Nature Energy [Internet]. 2020 Mar [cited 2020 Apr 1];5(3):231–9. Available from:</w:t>
      </w:r>
      <w:r>
        <w:t xml:space="preserve"> </w:t>
      </w:r>
      <w:hyperlink r:id="rId63">
        <w:r>
          <w:rPr>
            <w:rStyle w:val="Hyperlink"/>
          </w:rPr>
          <w:t xml:space="preserve">https://www.nature.com/articles/s41560-020-0579-8</w:t>
        </w:r>
      </w:hyperlink>
    </w:p>
    <w:bookmarkEnd w:id="64"/>
    <w:bookmarkStart w:id="66" w:name="ref-eurostat_eu_2020"/>
    <w:p>
      <w:pPr>
        <w:pStyle w:val="Bibliography"/>
      </w:pPr>
      <w:r>
        <w:t xml:space="preserve">13. Eurostat. EU Quality Report of the Household Budget Survey 2015 Wave [Internet]. 2020. Available from:</w:t>
      </w:r>
      <w:r>
        <w:t xml:space="preserve"> </w:t>
      </w:r>
      <w:hyperlink r:id="rId65">
        <w:r>
          <w:rPr>
            <w:rStyle w:val="Hyperlink"/>
          </w:rPr>
          <w:t xml:space="preserve">https://ec.europa.eu/eurostat/documents/54431/1966394/HBS_EU_QualityReport_2015.pdf/72d7e310-c415-7806-93cc-e3bc7a49b596</w:t>
        </w:r>
      </w:hyperlink>
    </w:p>
    <w:bookmarkEnd w:id="66"/>
    <w:bookmarkStart w:id="68" w:name="ref-moran_convergence_2014"/>
    <w:p>
      <w:pPr>
        <w:pStyle w:val="Bibliography"/>
      </w:pPr>
      <w:r>
        <w:t xml:space="preserve">14. Moran D, Wood R. Convergence Between the Eora, Wiod, Exiobase, and Openeu’s Consumption-Based Carbon Accounts. Economic Systems Research [Internet]. 2014 Jul [cited 2018 Aug 15];26(3):245–61. Available from:</w:t>
      </w:r>
      <w:r>
        <w:t xml:space="preserve"> </w:t>
      </w:r>
      <w:hyperlink r:id="rId67">
        <w:r>
          <w:rPr>
            <w:rStyle w:val="Hyperlink"/>
          </w:rPr>
          <w:t xml:space="preserve">https://doi.org/10.1080/09535314.2014.935298</w:t>
        </w:r>
      </w:hyperlink>
    </w:p>
    <w:bookmarkEnd w:id="68"/>
    <w:bookmarkStart w:id="69" w:name="ref-oecd_sut_nodate"/>
    <w:p>
      <w:pPr>
        <w:pStyle w:val="Bibliography"/>
      </w:pPr>
      <w:r>
        <w:t xml:space="preserve">15.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69"/>
    <w:bookmarkEnd w:id="70"/>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2021-01-28T20:18:51Z</dcterms:created>
  <dcterms:modified xsi:type="dcterms:W3CDTF">2021-01-28T20:18:51Z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