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minimum energy requirements for a decent living and maximum supply of decarbonised energy to achieve the 1.5°C target in 2050. We constructed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save 19 EJ per year and equalize expenditure, energy and carbon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living and no CCS deployment is assumed, the mathematical possible inequality to also achieve the 1.5°C target becomes practically zero. We conclude that for Europe and the eurozone, combining the goals of providing enough energy for a decent living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between 15.3 and 100 GJ per capita</w:t>
      </w:r>
      <w:r>
        <w:t xml:space="preserve"> </w:t>
      </w:r>
      <w:r>
        <w:t xml:space="preserve">(2)</w:t>
      </w:r>
      <w:r>
        <w:t xml:space="preserve">, or 0.5 and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We mapped each EXIOBASE sector to one of the COICOP consumption categories in the EUROSTAT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and also within Europe</w:t>
      </w:r>
      <w:r>
        <w:t xml:space="preserve"> </w:t>
      </w:r>
      <w:r>
        <w:t xml:space="preserve">(22)</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(24)</w:t>
      </w:r>
      <w:r>
        <w:t xml:space="preserve">, and had a higher average intensity of carbon per MJ of heat delivered than both Europe and the world</w:t>
      </w:r>
      <w:r>
        <w:t xml:space="preserve"> </w:t>
      </w:r>
      <w:r>
        <w:t xml:space="preserve">(25)</w:t>
      </w:r>
      <w:r>
        <w:t xml:space="preserve">. We did not account for energy subsidies here, but different subsidy levels in different countries could also contribute to higher energy and carbon intensities</w:t>
      </w:r>
      <w:r>
        <w:t xml:space="preserve"> </w:t>
      </w:r>
      <w:r>
        <w:t xml:space="preserve">(26)</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(27)</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Household energy and carbon footprints by final consumption category and European expenditure decile in 2015, further broken down by source and location.</w:t>
      </w:r>
      <w:r>
        <w:t xml:space="preserve"> </w:t>
      </w:r>
      <w:r>
        <w:t xml:space="preserve">‘</w:t>
      </w:r>
      <w:r>
        <w:t xml:space="preserve">Direct</w:t>
      </w:r>
      <w:r>
        <w:t xml:space="preserve">’</w:t>
      </w:r>
      <w:r>
        <w:t xml:space="preserve"> </w:t>
      </w:r>
      <w:r>
        <w:t xml:space="preserve">(direct energy use and carbon emissions from households) plus</w:t>
      </w:r>
      <w:r>
        <w:t xml:space="preserve"> </w:t>
      </w:r>
      <w:r>
        <w:t xml:space="preserve">‘</w:t>
      </w:r>
      <w:r>
        <w:t xml:space="preserve">Domestic</w:t>
      </w:r>
      <w:r>
        <w:t xml:space="preserve">’</w:t>
      </w:r>
      <w:r>
        <w:t xml:space="preserve"> </w:t>
      </w:r>
      <w:r>
        <w:t xml:space="preserve">(energy use and carbon emissions from along the domestic national supply chain) make up that part of the household footprint coming from within national borders, while</w:t>
      </w:r>
      <w:r>
        <w:t xml:space="preserve"> </w:t>
      </w:r>
      <w:r>
        <w:t xml:space="preserve">‘</w:t>
      </w:r>
      <w:r>
        <w:t xml:space="preserve">Europe</w:t>
      </w:r>
      <w:r>
        <w:t xml:space="preserve">’</w:t>
      </w:r>
      <w:r>
        <w:t xml:space="preserve"> </w:t>
      </w:r>
      <w:r>
        <w:t xml:space="preserve">is the part from other countries within the sample, and</w:t>
      </w:r>
      <w:r>
        <w:t xml:space="preserve"> </w:t>
      </w:r>
      <w:r>
        <w:t xml:space="preserve">‘</w:t>
      </w:r>
      <w:r>
        <w:t xml:space="preserve">non-Europe</w:t>
      </w:r>
      <w:r>
        <w:t xml:space="preserve">’</w:t>
      </w:r>
      <w:r>
        <w:t xml:space="preserve"> </w:t>
      </w:r>
      <w: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t xml:space="preserve"> </w:t>
      </w:r>
      <w:r>
        <w:t xml:space="preserve">‘</w:t>
      </w:r>
      <w:r>
        <w:t xml:space="preserve">mix</w:t>
      </w:r>
      <w:r>
        <w:t xml:space="preserve">’</w:t>
      </w:r>
      <w:r>
        <w:t xml:space="preserve"> </w:t>
      </w:r>
      <w: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(28)</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(23)</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Average energy available for Europe in decarbonisation scenarios, positioned in corridor between a range of minimum energy requirements and a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energy use targeted in the different 1.5°C compatible scenarios, the energy footprint needs to be reduced in all European countries, as well as almost all expenditure groups. The GHG intensity of energy services needs to be reduced across all expenditure groups. The focus in the lower deciles should be on efficiency improvements, and on absolute reductions in energy consumption in the upper deciles. Even under our bold assumption that the energy and emission efficiencies of the ten expenditure quantiles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life for all at the targeted energy level of the minimum consumption scenarios (X GJ per adult equivalent, down from an average of X GJ) requires a fundamental reorganization of almost all areas of life and economy. It seems hard to imagine how, for example, the living space per capita can be reduced from about 40m² to 15m², or the number of private cars can be reduced from X to X which are the assumption behind the [xxx] scenario. However, each increase in the minimum energy consumption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body behind</w:t>
      </w:r>
      <w:r>
        <w:t xml:space="preserve">”</w:t>
      </w:r>
      <w:r>
        <w:t xml:space="preserve">, as the European Green Deal promises.</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 zone offers little monetary or fiscal leeway to member states, especially the less wealthy where this would be particularly important, to strengthen or introduce such measures. At the European level, implementation fails due to the lack of a common economic policy, as well as the fact that the ECB (unlike other central banks) only has a mandate to stabilize prices, but not to provide full employment or other effective means of social protection for European citizens.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 (MCC/Edenhofer). In addition, other distribution instruments such as wealth and inheritance taxes, more progressive income tax, will have to be discussed in order to reduce the large differences in purchasing power within and between the countries of the EU,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 (Haberl, 2020, D’Alessandro 2020). Although our empirical investigation is limited to countries in Europe, we contend that our main conclusions apply in a similar or stronger form to the global achievement of climate and equity goals as articulated in the SDGs.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104"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sommer_carbon_2017"/>
    <w:p>
      <w:pPr>
        <w:pStyle w:val="Bibliography"/>
      </w:pPr>
      <w:r>
        <w:t xml:space="preserve">22. Sommer M, Kratena K. The Carbon Footprint of European Households and Income Distribution. Ecological Economics [Internet]. 2017 [cited 2020 Aug 12];136(C):62–72. Available from:</w:t>
      </w:r>
      <w:r>
        <w:t xml:space="preserve"> </w:t>
      </w:r>
      <w:hyperlink r:id="rId88">
        <w:r>
          <w:rPr>
            <w:rStyle w:val="Hyperlink"/>
          </w:rPr>
          <w:t xml:space="preserve">https://econpapers.repec.org/article/eeeecolec/v_3a136_3ay_3a2017_3ai_3ac_3ap_3a62-72.htm</w:t>
        </w:r>
      </w:hyperlink>
    </w:p>
    <w:bookmarkEnd w:id="89"/>
    <w:bookmarkStart w:id="91" w:name="ref-bianco_understanding_2019"/>
    <w:p>
      <w:pPr>
        <w:pStyle w:val="Bibliography"/>
      </w:pPr>
      <w:r>
        <w:t xml:space="preserve">23. Bianco V, Cascetta F, Marino A, Nardini S. Understanding energy consumption and carbon emissions in Europe: A focus on inequality issues. Energy [Internet]. 2019 Mar [cited 2020 Sep 28];170:120–30. Available from:</w:t>
      </w:r>
      <w:r>
        <w:t xml:space="preserve"> </w:t>
      </w:r>
      <w:hyperlink r:id="rId90">
        <w:r>
          <w:rPr>
            <w:rStyle w:val="Hyperlink"/>
          </w:rPr>
          <w:t xml:space="preserve">http://www.sciencedirect.com/science/article/pii/S0360544218324927</w:t>
        </w:r>
      </w:hyperlink>
    </w:p>
    <w:bookmarkEnd w:id="91"/>
    <w:bookmarkStart w:id="93" w:name="ref-eurostat_eurostat_nodate-2"/>
    <w:p>
      <w:pPr>
        <w:pStyle w:val="Bibliography"/>
      </w:pPr>
      <w:r>
        <w:t xml:space="preserve">24. Eurostat. Eurostat - Data Explorer - Production of electricity and derived heat by type of fuel [Internet]. [cited 2021 Jan 22]. Available from:</w:t>
      </w:r>
      <w:r>
        <w:t xml:space="preserve"> </w:t>
      </w:r>
      <w:hyperlink r:id="rId92">
        <w:r>
          <w:rPr>
            <w:rStyle w:val="Hyperlink"/>
          </w:rPr>
          <w:t xml:space="preserve">https://appsso.eurostat.ec.europa.eu/nui/submitViewTableAction.do</w:t>
        </w:r>
      </w:hyperlink>
    </w:p>
    <w:bookmarkEnd w:id="93"/>
    <w:bookmarkStart w:id="95" w:name="ref-werner_international_2017"/>
    <w:p>
      <w:pPr>
        <w:pStyle w:val="Bibliography"/>
      </w:pPr>
      <w:r>
        <w:t xml:space="preserve">25. Werner S. International review of district heating and cooling. Energy [Internet]. 2017 Oct [cited 2020 Aug 11];137:617–31. Available from:</w:t>
      </w:r>
      <w:r>
        <w:t xml:space="preserve"> </w:t>
      </w:r>
      <w:hyperlink r:id="rId94">
        <w:r>
          <w:rPr>
            <w:rStyle w:val="Hyperlink"/>
          </w:rPr>
          <w:t xml:space="preserve">http://www.sciencedirect.com/science/article/pii/S036054421730614X</w:t>
        </w:r>
      </w:hyperlink>
    </w:p>
    <w:bookmarkEnd w:id="95"/>
    <w:bookmarkStart w:id="97" w:name="ref-sovacool_reviewing_2017"/>
    <w:p>
      <w:pPr>
        <w:pStyle w:val="Bibliography"/>
      </w:pPr>
      <w:r>
        <w:t xml:space="preserve">26. Sovacool BK. Reviewing, Reforming, and Rethinking Global Energy Subsidies: Towards a Political Economy Research Agenda. Ecological Economics [Internet]. 2017 May [cited 2021 Feb 12];135:150–63. Available from:</w:t>
      </w:r>
      <w:r>
        <w:t xml:space="preserve"> </w:t>
      </w:r>
      <w:hyperlink r:id="rId96">
        <w:r>
          <w:rPr>
            <w:rStyle w:val="Hyperlink"/>
          </w:rPr>
          <w:t xml:space="preserve">https://www.sciencedirect.com/science/article/pii/S0921800916303494</w:t>
        </w:r>
      </w:hyperlink>
    </w:p>
    <w:bookmarkEnd w:id="97"/>
    <w:bookmarkStart w:id="99" w:name="ref-ivanova_quantifying_2020"/>
    <w:p>
      <w:pPr>
        <w:pStyle w:val="Bibliography"/>
      </w:pPr>
      <w:r>
        <w:t xml:space="preserve">27. Ivanova D, Barrett J, Wiedenhofer D, Macura B, Callaghan MW, Creutzig F. Quantifying the potential for climate change mitigation of consumption options. Environmental Research Letters [Internet]. 2020 [cited 2020 Jun 30]; Available from:</w:t>
      </w:r>
      <w:r>
        <w:t xml:space="preserve"> </w:t>
      </w:r>
      <w:hyperlink r:id="rId98">
        <w:r>
          <w:rPr>
            <w:rStyle w:val="Hyperlink"/>
          </w:rPr>
          <w:t xml:space="preserve">http://iopscience.iop.org/10.1088/1748-9326/ab8589</w:t>
        </w:r>
      </w:hyperlink>
    </w:p>
    <w:bookmarkEnd w:id="99"/>
    <w:bookmarkStart w:id="101" w:name="ref-eurostat_living_nodate"/>
    <w:p>
      <w:pPr>
        <w:pStyle w:val="Bibliography"/>
      </w:pPr>
      <w:r>
        <w:t xml:space="preserve">28. Eurostat. Living conditions in Europe - material deprivation and economic strain - Statistics Explained [Internet]. [cited 2021 Jan 23]. Available from:</w:t>
      </w:r>
      <w:r>
        <w:t xml:space="preserve"> </w:t>
      </w:r>
      <w:hyperlink r:id="rId100">
        <w:r>
          <w:rPr>
            <w:rStyle w:val="Hyperlink"/>
          </w:rPr>
          <w:t xml:space="preserve">https://ec.europa.eu/eurostat/statistics-explained/index.php?title=Living_conditions_in_Europe_-_material_deprivation_and_economic_strain</w:t>
        </w:r>
      </w:hyperlink>
    </w:p>
    <w:bookmarkEnd w:id="101"/>
    <w:bookmarkStart w:id="103" w:name="ref-european_commission_european_2020"/>
    <w:p>
      <w:pPr>
        <w:pStyle w:val="Bibliography"/>
      </w:pPr>
      <w:r>
        <w:t xml:space="preserve">29. European Commission. The European Green Deal Investment Plan and JTM explained [Internet]. European Commission - European Commission. 2020 [cited 2020 Aug 7]. Available from:</w:t>
      </w:r>
      <w:r>
        <w:t xml:space="preserve"> </w:t>
      </w:r>
      <w:hyperlink r:id="rId102">
        <w:r>
          <w:rPr>
            <w:rStyle w:val="Hyperlink"/>
          </w:rPr>
          <w:t xml:space="preserve">https://ec.europa.eu/commission/presscorner/detail/en/qanda_20_24</w:t>
        </w:r>
      </w:hyperlink>
    </w:p>
    <w:bookmarkEnd w:id="103"/>
    <w:bookmarkEnd w:id="104"/>
    <w:p>
      <w:r>
        <w:br w:type="page"/>
      </w:r>
    </w:p>
    <w:p>
      <w:pPr>
        <w:pStyle w:val="Heading3"/>
      </w:pPr>
      <w:bookmarkStart w:id="105" w:name="colophon"/>
      <w:r>
        <w:t xml:space="preserve">Colophon</w:t>
      </w:r>
      <w:bookmarkEnd w:id="105"/>
    </w:p>
    <w:p>
      <w:pPr>
        <w:pStyle w:val="FirstParagraph"/>
      </w:pPr>
      <w:r>
        <w:t xml:space="preserve">This report was generated on 2021-02-15 14:28:04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2021-02-15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[c28b1d1] 2021-02-15: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98"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50" Target="http://www.nature.com/articles/s41558-018-0121-1" TargetMode="External" /><Relationship Type="http://schemas.openxmlformats.org/officeDocument/2006/relationships/hyperlink" Id="rId94" Target="http://www.sciencedirect.com/science/article/pii/S036054421730614X" TargetMode="External" /><Relationship Type="http://schemas.openxmlformats.org/officeDocument/2006/relationships/hyperlink" Id="rId90" Target="http://www.sciencedirect.com/science/article/pii/S0360544218324927"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2"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02"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0"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88"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96" Target="https://www.sciencedirect.com/science/article/pii/S0921800916303494" TargetMode="External" /></Relationships>
</file>

<file path=word/_rels/footnotes.xml.rels><?xml version="1.0" encoding="UTF-8"?>
<Relationships xmlns="http://schemas.openxmlformats.org/package/2006/relationships"><Relationship Type="http://schemas.openxmlformats.org/officeDocument/2006/relationships/hyperlink" Id="rId98"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50" Target="http://www.nature.com/articles/s41558-018-0121-1" TargetMode="External" /><Relationship Type="http://schemas.openxmlformats.org/officeDocument/2006/relationships/hyperlink" Id="rId94" Target="http://www.sciencedirect.com/science/article/pii/S036054421730614X" TargetMode="External" /><Relationship Type="http://schemas.openxmlformats.org/officeDocument/2006/relationships/hyperlink" Id="rId90" Target="http://www.sciencedirect.com/science/article/pii/S0360544218324927"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2"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02"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0"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88"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96" Target="https://www.sciencedirect.com/science/article/pii/S0921800916303494"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2021-02-15T13:28:06Z</dcterms:created>
  <dcterms:modified xsi:type="dcterms:W3CDTF">2021-02-15T13:28:06Z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