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19</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measured as energy use per € expenditure (d) and the carbon intensity measured as carbon per unit of energy use (f) gradually decrease from bottom to top expenditure decile. The average energy intensity of consumption decreased from 25.2 MJ/€ in the bottom decile to less than half (12 MJ/€) in the top decile. Additionally, the carbon intensity of energy use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w:t>
      </w:r>
    </w:p>
    <w:p>
      <w:pPr>
        <w:pStyle w:val="BodyText"/>
      </w:pPr>
      <w:r>
        <w:t xml:space="preserve">Figures 1d-e show that energy and carbon intensities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that is more than 3 times higher in the bottom decile (7.5 kgCO2eq/€) than in the top decile (2 kgCO2eq/€). Households in the top decile spend about 55.2% in the service sector that has the lowest carbon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carbon intensity per MJ of heat delivered than both Europe and the world (XXX). These differences in specific energy and carbon intensities in basic services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the carbon nor in the energy footprint). Especially the lower four expenditure deciles have high carbon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carbon and 4.9 for energy) and then food (10:10 ratios of 2.1 for both footprints).</w:t>
      </w:r>
    </w:p>
    <w:p>
      <w:pPr>
        <w:pStyle w:val="CaptionedFigure"/>
      </w:pPr>
      <w:r>
        <w:drawing>
          <wp:inline>
            <wp:extent cx="5943600" cy="3714750"/>
            <wp:effectExtent b="0" l="0" r="0" t="0"/>
            <wp:docPr descr="Figure 3: Energy and carbon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demand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sweeping poverty reduction in many regions of the world may put achieving global climate targets at risk (ref - Hubacek).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2"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3">
        <w:r>
          <w:rPr>
            <w:rStyle w:val="Hyperlink"/>
          </w:rPr>
          <w:t xml:space="preserve">https://doi.org/10.1088/1748-9326/ab8589</w:t>
        </w:r>
      </w:hyperlink>
    </w:p>
    <w:bookmarkEnd w:id="54"/>
    <w:bookmarkStart w:id="56"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5">
        <w:r>
          <w:rPr>
            <w:rStyle w:val="Hyperlink"/>
          </w:rPr>
          <w:t xml:space="preserve">https://doi.org/10.1111/jiec.12371</w:t>
        </w:r>
      </w:hyperlink>
    </w:p>
    <w:bookmarkEnd w:id="56"/>
    <w:bookmarkStart w:id="58"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7">
        <w:r>
          <w:rPr>
            <w:rStyle w:val="Hyperlink"/>
          </w:rPr>
          <w:t xml:space="preserve">https://doi.org/10.1017/sus.2020.12</w:t>
        </w:r>
      </w:hyperlink>
    </w:p>
    <w:bookmarkEnd w:id="58"/>
    <w:bookmarkStart w:id="59" w:name="ref-kartha_carbon_2020"/>
    <w:p>
      <w:pPr>
        <w:pStyle w:val="Bibliography"/>
      </w:pPr>
      <w:r>
        <w:t xml:space="preserve">Kartha, S., Kemp-Benedict, E., Ghosh, E., Nazareth, A., 2020. The Carbon Inequality Era.</w:t>
      </w:r>
    </w:p>
    <w:bookmarkEnd w:id="59"/>
    <w:bookmarkStart w:id="61"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0">
        <w:r>
          <w:rPr>
            <w:rStyle w:val="Hyperlink"/>
          </w:rPr>
          <w:t xml:space="preserve">https://doi.org/10.1016/j.gloenvcha.2020.102168</w:t>
        </w:r>
      </w:hyperlink>
    </w:p>
    <w:bookmarkEnd w:id="61"/>
    <w:bookmarkStart w:id="63"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2">
        <w:r>
          <w:rPr>
            <w:rStyle w:val="Hyperlink"/>
          </w:rPr>
          <w:t xml:space="preserve">https://doi.org/10.1038/s41560-020-0579-8</w:t>
        </w:r>
      </w:hyperlink>
    </w:p>
    <w:bookmarkEnd w:id="63"/>
    <w:bookmarkStart w:id="64"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4"/>
    <w:bookmarkStart w:id="65" w:name="ref-scruggs_political_1998"/>
    <w:p>
      <w:pPr>
        <w:pStyle w:val="Bibliography"/>
      </w:pPr>
      <w:r>
        <w:t xml:space="preserve">Scruggs, L., 1998. Political and economic inequality and the environment. Ecological Economics 26, 259–275.</w:t>
      </w:r>
    </w:p>
    <w:bookmarkEnd w:id="65"/>
    <w:bookmarkStart w:id="66" w:name="ref-sommer_carbon_2017"/>
    <w:p>
      <w:pPr>
        <w:pStyle w:val="Bibliography"/>
      </w:pPr>
      <w:r>
        <w:t xml:space="preserve">Sommer, M., Kratena, K., 2017. The Carbon Footprint of European Households and Income Distribution. Ecological Economics 136, 62–72.</w:t>
      </w:r>
    </w:p>
    <w:bookmarkEnd w:id="66"/>
    <w:bookmarkStart w:id="68"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7">
        <w:r>
          <w:rPr>
            <w:rStyle w:val="Hyperlink"/>
          </w:rPr>
          <w:t xml:space="preserve">https://doi.org/10.1111/jiec.12405</w:t>
        </w:r>
      </w:hyperlink>
    </w:p>
    <w:bookmarkEnd w:id="68"/>
    <w:bookmarkStart w:id="70"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9">
        <w:r>
          <w:rPr>
            <w:rStyle w:val="Hyperlink"/>
          </w:rPr>
          <w:t xml:space="preserve">https://doi.org/10.1016/j.ecolecon.2007.09.021</w:t>
        </w:r>
      </w:hyperlink>
    </w:p>
    <w:bookmarkEnd w:id="70"/>
    <w:bookmarkStart w:id="71" w:name="ref-wiedenhofer_unequal_2017"/>
    <w:p>
      <w:pPr>
        <w:pStyle w:val="Bibliography"/>
      </w:pPr>
      <w:r>
        <w:t xml:space="preserve">Wiedenhofer, D., Guan, D., Liu, Z., Meng, J., Zhang, N., Wei, Y.-M., 2017. Unequal household carbon footprints in China. Nature Climate Change 7, 75–80.</w:t>
      </w:r>
    </w:p>
    <w:bookmarkEnd w:id="71"/>
    <w:bookmarkEnd w:id="72"/>
    <w:p>
      <w:r>
        <w:br w:type="page"/>
      </w:r>
    </w:p>
    <w:p>
      <w:pPr>
        <w:pStyle w:val="Heading3"/>
      </w:pPr>
      <w:bookmarkStart w:id="73" w:name="colophon"/>
      <w:r>
        <w:t xml:space="preserve">Colophon</w:t>
      </w:r>
      <w:bookmarkEnd w:id="73"/>
    </w:p>
    <w:p>
      <w:pPr>
        <w:pStyle w:val="FirstParagraph"/>
      </w:pPr>
      <w:r>
        <w:t xml:space="preserve">This report was generated on 2021-01-19 05:39:03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[5db5bd5] 2021-01-18: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2021-01-19T04:39:08Z</dcterms:created>
  <dcterms:modified xsi:type="dcterms:W3CDTF">2021-01-19T04:39:08Z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19 Januar, 2021</vt:lpwstr>
  </property>
  <property fmtid="{D5CDD505-2E9C-101B-9397-08002B2CF9AE}" pid="6" name="highlights">
    <vt:lpwstr>These are the highlights.</vt:lpwstr>
  </property>
  <property fmtid="{D5CDD505-2E9C-101B-9397-08002B2CF9AE}" pid="7" name="output">
    <vt:lpwstr/>
  </property>
</Properties>
</file>