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12</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w:t>
      </w:r>
    </w:p>
    <w:p>
      <w:pPr>
        <w:pStyle w:val="BodyText"/>
      </w:pPr>
      <w:r>
        <w:t xml:space="preserve">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BodyText"/>
      </w:pPr>
      <w:r>
        <w:rPr>
          <w:i/>
        </w:rPr>
        <w:t xml:space="preserve">Still to add: Scenario sources we use. IIASA scenario database, IEA, DLE, maybe Boell.</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GHG footprint from 232.8 MtCO2eq to 606.5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25.2 MJ/€ in the bottom decile to less than half (12 MJ/€) in the top decile. Additionally, the GHG intensity of energy use was also higher in the bottom decile (52.6 gCO2eq/TJ) compared to the top decile (39.7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2399"/>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(1.8 kgCO2eq/€). Households in the top decile spend about 55.2% in the service sector that has the lowest GHG intensity, compared to 38.4%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resource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GHG intensity per MJ of heat delivered than both Europe and the world (XXX). These differences in specific energy and emissions intensities in basic services sectors (especially shelter) account for the smaller inequality between expenditure deciles in terms of resource footprints compared to raw expenditures [</w:t>
      </w:r>
      <w:r>
        <w:rPr>
          <w:i/>
        </w:rPr>
        <w:t xml:space="preserve">do we need to mention subsidies also?</w:t>
      </w:r>
      <w:r>
        <w:t xml:space="preserve">].</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GHGs and 4.9 for energy) and then food (10:10 ratios of 2.1 for both footprints).</w:t>
      </w:r>
    </w:p>
    <w:p>
      <w:pPr>
        <w:pStyle w:val="CaptionedFigure"/>
      </w:pPr>
      <w:r>
        <w:drawing>
          <wp:inline>
            <wp:extent cx="5943600" cy="3714750"/>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w:t>
      </w:r>
      <w:r>
        <w:rPr>
          <w:i/>
        </w:rPr>
        <w:t xml:space="preserve">The following paragraph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p>
      <w:pPr>
        <w:pStyle w:val="BodyText"/>
      </w:pPr>
      <w:r>
        <w:t xml:space="preserve">[</w:t>
      </w:r>
      <w:r>
        <w:rPr>
          <w:i/>
        </w:rPr>
        <w:t xml:space="preserve">Alternative to converting in the following text between per capita and per adult, we could convert scenarios to rough per adult equvialents and discuss differences across deciles in supplement</w:t>
      </w:r>
      <w:r>
        <w:t xml:space="preserve">]</w:t>
      </w:r>
    </w:p>
    <w:p>
      <w:pPr>
        <w:pStyle w:val="BodyText"/>
      </w:pPr>
      <w:r>
        <w:t xml:space="preserve">[</w:t>
      </w:r>
      <w:r>
        <w:rPr>
          <w:i/>
        </w:rPr>
        <w:t xml:space="preserve">maybe table with scenario properties</w:t>
      </w:r>
      <w:r>
        <w:t xml:space="preserve">]</w:t>
      </w:r>
    </w:p>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satisfy human needs/to deliver on this life [</w:t>
      </w:r>
      <w:r>
        <w:rPr>
          <w:i/>
        </w:rPr>
        <w:t xml:space="preserve">dont want a</w:t>
      </w:r>
      <w:r>
        <w:rPr>
          <w:i/>
        </w:rPr>
        <w:t xml:space="preserve"> </w:t>
      </w:r>
      <w:r>
        <w:rPr>
          <w:i/>
        </w:rPr>
        <w:t xml:space="preserve">‘</w:t>
      </w:r>
      <w:r>
        <w:rPr>
          <w:i/>
        </w:rPr>
        <w:t xml:space="preserve">needs</w:t>
      </w:r>
      <w:r>
        <w:rPr>
          <w:i/>
        </w:rPr>
        <w:t xml:space="preserve">’</w:t>
      </w:r>
      <w:r>
        <w:rPr>
          <w:i/>
        </w:rPr>
        <w:t xml:space="preserve"> </w:t>
      </w:r>
      <w:r>
        <w:rPr>
          <w:i/>
        </w:rPr>
        <w:t xml:space="preserve">debate with you Helga, just didnt know how to say this differently.</w:t>
      </w:r>
      <w:r>
        <w:t xml:space="preserve">]. The two (</w:t>
      </w:r>
      <w:r>
        <w:rPr>
          <w:i/>
        </w:rPr>
        <w:t xml:space="preserve">or three with Boell</w:t>
      </w:r>
      <w:r>
        <w:t xml:space="preserve">) global demand side scenarios (LED, DLE) that attempt to define such a limit conclude that, in principle, a very low energy footprint (between 16-53 GJ per capita, or X-Y, translated to household adult equivalents)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w:t>
      </w:r>
      <w:r>
        <w:rPr>
          <w:i/>
        </w:rPr>
        <w:t xml:space="preserve">give rough per capita</w:t>
      </w:r>
      <w:r>
        <w:t xml:space="preserve">) in 2015 even though they fell almost entirely within the Eurostat definition of severe material deprivation.</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BodyText"/>
      </w:pPr>
      <w:r>
        <w:t xml:space="preserve">[</w:t>
      </w:r>
      <w:r>
        <w:rPr>
          <w:i/>
        </w:rPr>
        <w:t xml:space="preserve">Figure supplement: show country map with energy reductions resulting from SSPx supply and LED demand</w:t>
      </w:r>
      <w:r>
        <w:t xml:space="preserve">]</w:t>
      </w:r>
    </w:p>
    <w:p>
      <w:pPr>
        <w:pStyle w:val="BodyText"/>
      </w:pPr>
      <w:r>
        <w:t xml:space="preserve">Mini-conclusion: It is not enough to maximise supply and minimise demand. To hit targets, inequality needs to dramatically reduce under all realistic scenarios.</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Measuring carbon-energy inequality is important for assigning responsibility for climate change. At a global, regional, and within-country level, energy consumption and carbon emissions can be highly unequal across income groups. The reduction of carbon-energy inequality is not a meaningful goal by itself, however. With more nuance on carbon-energy inequality, when carbon-energy intensities of income groups can be estimated using information on different consumption baskets and technologies, we have seen that in Europe, just bringing carbon-energy intensities of all income groups in line with the top group would reduce the carbon-energy footprint but</w:t>
      </w:r>
      <w:r>
        <w:t xml:space="preserve"> </w:t>
      </w:r>
      <w:r>
        <w:rPr>
          <w:i/>
        </w:rPr>
        <w:t xml:space="preserve">increase</w:t>
      </w:r>
      <w:r>
        <w:t xml:space="preserve"> </w:t>
      </w:r>
      <w:r>
        <w:t xml:space="preserve">carbon-energy inequality. That lower-income groups tend to have higher carbon-energy intensities is an important finding from the environmental Kuznet’s curve literature. This is the case for Europe as a whole (although not necessarily within each European country). Responsibility for climate change focuses on aggregate carbon-energy inequality, and thus tends to focus on reducing over-consumption at the top. Without differences in intensity included, where/what to target: aggregate consumption a problem at top, not at bottom, etc.</w:t>
      </w:r>
    </w:p>
    <w:p>
      <w:pPr>
        <w:pStyle w:val="BodyText"/>
      </w:pPr>
      <w:r>
        <w:t xml:space="preserve">Understanding this relationship is important towards achieving two potentially conflicting goals in Europe: carbon-energy footprint reduction and providing minimum energy use for decent living to everyone. At a global level, achieving sweeping poverty reduction in many regions of the world could put at risk hitting global climate targets (Hubacek). In the European context, although less unequal than the globe as a whole, lower-income groups will look to increase income, consumption, energy use, and carbon emissions will increase if more efficient and cleaner technology is not adopted at the appropriate rate. Achieving an average per capita energy use and carbon footprint in Europe in scenarios that reach the Paris agreement goals, means either doing so at current inequality levels and keeping lower-income groups near or below minimum energy use levels for decent living, or reducing economic inequality. We have shown that achieving both scenario targets and minimum energy levels likely requires reduction in economic inequality (consumption inequality reduction measures in Europe) coupled with the appropriate targeted climate-energy measures for the various income groups and countries (expand on how it relates to 1st paragraph).</w:t>
      </w:r>
    </w:p>
    <w:p>
      <w:pPr>
        <w:pStyle w:val="BodyText"/>
      </w:pPr>
      <w:r>
        <w:t xml:space="preserve">Refs to add:</w:t>
      </w:r>
    </w:p>
    <w:p>
      <w:pPr>
        <w:pStyle w:val="BodyText"/>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4" w:name="acknowledgements"/>
      <w:r>
        <w:t xml:space="preserve">Acknowledgements</w:t>
      </w:r>
      <w:bookmarkEnd w:id="34"/>
    </w:p>
    <w:p>
      <w:r>
        <w:br w:type="page"/>
      </w:r>
    </w:p>
    <w:p>
      <w:pPr>
        <w:pStyle w:val="Heading1"/>
      </w:pPr>
      <w:bookmarkStart w:id="35" w:name="references"/>
      <w:r>
        <w:t xml:space="preserve">References</w:t>
      </w:r>
      <w:bookmarkEnd w:id="35"/>
    </w:p>
    <w:bookmarkStart w:id="51" w:name="refs"/>
    <w:bookmarkStart w:id="36"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6"/>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43">
        <w:r>
          <w:rPr>
            <w:rStyle w:val="Hyperlink"/>
          </w:rPr>
          <w:t xml:space="preserve">https://doi.org/10.1111/jiec.12371</w:t>
        </w:r>
      </w:hyperlink>
    </w:p>
    <w:bookmarkEnd w:id="44"/>
    <w:bookmarkStart w:id="46"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45">
        <w:r>
          <w:rPr>
            <w:rStyle w:val="Hyperlink"/>
          </w:rPr>
          <w:t xml:space="preserve">https://doi.org/10.1017/sus.2020.12</w:t>
        </w:r>
      </w:hyperlink>
    </w:p>
    <w:bookmarkEnd w:id="46"/>
    <w:bookmarkStart w:id="48"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7">
        <w:r>
          <w:rPr>
            <w:rStyle w:val="Hyperlink"/>
          </w:rPr>
          <w:t xml:space="preserve">https://doi.org/10.1016/j.gloenvcha.2020.102168</w:t>
        </w:r>
      </w:hyperlink>
    </w:p>
    <w:bookmarkEnd w:id="48"/>
    <w:bookmarkStart w:id="50"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9">
        <w:r>
          <w:rPr>
            <w:rStyle w:val="Hyperlink"/>
          </w:rPr>
          <w:t xml:space="preserve">https://doi.org/10.1038/s41560-020-0579-8</w:t>
        </w:r>
      </w:hyperlink>
    </w:p>
    <w:bookmarkEnd w:id="50"/>
    <w:bookmarkEnd w:id="51"/>
    <w:p>
      <w:r>
        <w:br w:type="page"/>
      </w:r>
    </w:p>
    <w:p>
      <w:pPr>
        <w:pStyle w:val="Heading3"/>
      </w:pPr>
      <w:bookmarkStart w:id="52" w:name="colophon"/>
      <w:r>
        <w:t xml:space="preserve">Colophon</w:t>
      </w:r>
      <w:bookmarkEnd w:id="52"/>
    </w:p>
    <w:p>
      <w:pPr>
        <w:pStyle w:val="FirstParagraph"/>
      </w:pPr>
      <w:r>
        <w:t xml:space="preserve">This report was generated on 2021-01-12 15:12:37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2021-01-12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[c1a33da] 2021-01-12: edit figures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2021-01-12T14:12:54Z</dcterms:created>
  <dcterms:modified xsi:type="dcterms:W3CDTF">2021-01-12T14:12:54Z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12 Januar, 2021</vt:lpwstr>
  </property>
  <property fmtid="{D5CDD505-2E9C-101B-9397-08002B2CF9AE}" pid="6" name="highlights">
    <vt:lpwstr>These are the highlights.</vt:lpwstr>
  </property>
  <property fmtid="{D5CDD505-2E9C-101B-9397-08002B2CF9AE}" pid="7" name="output">
    <vt:lpwstr/>
  </property>
</Properties>
</file>