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energy and carbon footprints; inequality; energy for decent life; 1.5 degree target, Europe</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This paper examines the corridor of possible distributions of household final energy and carbon footprints that satisfy both minimum energy use for a decent life and maximum supply of decarbonised energy to achieve the 1.5°C target in 2050. The empirical scope is the populations of 28 European countries. We constructed household energy and carbon footprints for harmonized European expenditure deciles in 2015 by combining data from national Household Budget Surveys (HBS) provided by EUROSTAT, with the Environmentally-Extended Multi-Regional Input-Output (EE-MRIO) model EXIOBASE. A range of estimates for minimum energy use for a decent life and for the maximum available decarbonised energy supply compatible with 1.5°C degrees were taken from the 1.5°C scenario literature. We found a top-to-bottom decile ratio (10:10) of 7.2 for expenditure, 3.5 for energy and 2.6 for carbon. This much lower energy and carbon inequality is largely attributable to inefficient energy and heating technologies in the four lowest deciles (mostly Eastern Europe). Adopting best technology across all European expenditure deciles would save 19 EJ per year and largely equalize expenditure, energy and carbon inequality. At those equalized inequality levels, the dual goal can only be achieved through CCS deployment, large and fast efficiency improvements, plus extremely low minimum final energy use of 27 GJ per adult equivalent (as compared to currently 130 GJ/ae in the lowest decile). When around 50 GJ/ae minimum energy use for a decent life and no CCS deployment is assumed, the 1.5°C target can only be achieved at practically zero inequality. We conclude that for Europe, combining the goals of providing enough energy for a decent life and achieving the Paris agreement poses an immense and widely underestimated challenge, one which will likely require substantial monetary and fiscal leeway. Similar or even stronger challenges apply to the global achievement of climate and equity goals.</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existing non-energy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energy use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The published 1.5°C global decarbonisation scenarios also show very high differences in the assumed average per capita final energy consumption (15-100 GJ/capita) in 2050, depending on assumptions about how much energy is needed for a decent life, or how large the future supply will be</w:t>
      </w:r>
      <w:r>
        <w:t xml:space="preserve"> </w:t>
      </w:r>
      <w:r>
        <w:t xml:space="preserve">(1)</w:t>
      </w:r>
      <w:r>
        <w:t xml:space="preserve"> </w:t>
      </w:r>
      <w:r>
        <w:t xml:space="preserve">(2)</w:t>
      </w:r>
      <w:r>
        <w:t xml:space="preserve"> </w:t>
      </w:r>
      <w:r>
        <w:t xml:space="preserve">(4)</w:t>
      </w:r>
      <w:r>
        <w:t xml:space="preserve">.</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We analyze the distribution of final energy and carbon footprints and intensities across European expenditure deciles and final consumption categories in 2015, and compare this structure to a counterfactual, where all European expenditure deciles use the best technology available in Europe in 2015.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recognizes that inequalities in income, energy infrastructure, energy consumption, and carbon emissions, lead to different responsibilities and capacities in achieving the energy and emission savings targets</w:t>
      </w:r>
      <w:r>
        <w:t xml:space="preserve"> </w:t>
      </w:r>
      <w:r>
        <w:t xml:space="preserve">(14)</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(15)</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To this end we used the relative expenditure shares of each income quintile on the COICOP consumption categories in the HBS to disaggregate the matching EXIOBASE national household final demand expenditure per sector by income quintile.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the method used in the EUROSTAT HBS to account for different household sizes. The first adult in the household is given a weight of 1.0, each adult thereafter 0.5, and each child 0.3</w:t>
      </w:r>
      <w:r>
        <w:t xml:space="preserve"> </w:t>
      </w:r>
      <w:r>
        <w:t xml:space="preserve">(16)</w:t>
      </w:r>
      <w:r>
        <w:t xml:space="preserve">.</w:t>
      </w:r>
    </w:p>
    <w:p>
      <w:pPr>
        <w:pStyle w:val="BodyText"/>
      </w:pPr>
      <w:r>
        <w:t xml:space="preserve">For our calculations of attainable corridors for achieving the dual goal of climate protection and a decent standard of living for all, we converted the total per capita results from published 1.5°C decarbonisation scenarios to household adult equivalents in order to better compare them with our environmental footprint estimates. Estimates of minimum final energy use for a decent life are from Grubler et al. (2018)</w:t>
      </w:r>
      <w:r>
        <w:t xml:space="preserve"> </w:t>
      </w:r>
      <w:r>
        <w:t xml:space="preserve">(2)</w:t>
      </w:r>
      <w:r>
        <w:t xml:space="preserve"> </w:t>
      </w:r>
      <w:r>
        <w:t xml:space="preserve">and Millward-Hopkins et al. (2020)</w:t>
      </w:r>
      <w:r>
        <w:t xml:space="preserve"> </w:t>
      </w:r>
      <w:r>
        <w:t xml:space="preserve">(4)</w:t>
      </w:r>
      <w:r>
        <w:t xml:space="preserve">, while maximum supply of decarbonised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(17)</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(17)</w:t>
      </w:r>
      <w:r>
        <w:t xml:space="preserve"> </w:t>
      </w:r>
      <w:r>
        <w:t xml:space="preserve">and minimum energy use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(the formula for this is shown in the last section of the supplementary information (SI)). All data and procedures are described in more detail in the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corroborating previous results</w:t>
      </w:r>
      <w:r>
        <w:t xml:space="preserve"> </w:t>
      </w:r>
      <w:r>
        <w:t xml:space="preserve">(18)</w:t>
      </w:r>
      <w:r>
        <w:t xml:space="preserve">. In our sample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and services expenditures increase and the shares of food and goods decrease.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(18)</w:t>
      </w:r>
      <w:r>
        <w:t xml:space="preserve"> </w:t>
      </w:r>
      <w:r>
        <w:t xml:space="preserve">(23)</w:t>
      </w:r>
      <w:r>
        <w:t xml:space="preserve"> </w:t>
      </w:r>
      <w:r>
        <w:t xml:space="preserve">(24)</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(25)</w:t>
      </w:r>
      <w:r>
        <w:t xml:space="preserve">, and had a higher average intensity of carbon per MJ of heat delivered than both Europe and the world</w:t>
      </w:r>
      <w:r>
        <w:t xml:space="preserve"> </w:t>
      </w:r>
      <w:r>
        <w:t xml:space="preserve">(26)</w:t>
      </w:r>
      <w:r>
        <w:t xml:space="preserve">. We did not account for energy subsidies here, but different subsidy levels in different countries could also contribute to higher energy and carbon intensities</w:t>
      </w:r>
      <w:r>
        <w:t xml:space="preserve"> </w:t>
      </w:r>
      <w:r>
        <w:t xml:space="preserve">(27)</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were the two largest categories, accounting for nearly two thirds of both the energy and carbon footprints. In addition, the sectoral footprint variation across the expenditure deciles was also highly variable (Figure 3). For housing there was very little difference between deciles in both the energy and the carbon footprint. The bottom four deciles even had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(13)</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consumption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(14)</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converted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in Figure 5.</w:t>
      </w:r>
    </w:p>
    <w:p>
      <w:pPr>
        <w:pStyle w:val="TableCaption"/>
      </w:pPr>
      <w:r>
        <w:rPr>
          <w:i/>
          <w:b/>
        </w:rPr>
        <w:t xml:space="preserve">Table 1: Decarbonisation scenarios. Scenario: Shared Socioeconomic Pathways (SSP) 1-1.9 and 2-1.9</w:t>
      </w:r>
      <w:r>
        <w:rPr>
          <w:i/>
          <w:b/>
        </w:rPr>
        <w:t xml:space="preserve"> </w:t>
      </w:r>
      <w:r>
        <w:rPr>
          <w:i/>
          <w:b/>
        </w:rPr>
        <w:t xml:space="preserve">(1)</w:t>
      </w:r>
      <w:r>
        <w:rPr>
          <w:i/>
          <w:b/>
        </w:rPr>
        <w:t xml:space="preserve">, IEA Energy Technology Perspectives Beyond 2 Degrees (IEA ETP B2DS)</w:t>
      </w:r>
      <w:r>
        <w:rPr>
          <w:i/>
          <w:b/>
        </w:rPr>
        <w:t xml:space="preserve"> </w:t>
      </w:r>
      <w:r>
        <w:rPr>
          <w:i/>
          <w:b/>
        </w:rPr>
        <w:t xml:space="preserve">(2)</w:t>
      </w:r>
      <w:r>
        <w:rPr>
          <w:i/>
          <w:b/>
        </w:rPr>
        <w:t xml:space="preserve">, Global Energy Assessment (GEA)-efficiency</w:t>
      </w:r>
      <w:r>
        <w:rPr>
          <w:i/>
          <w:b/>
        </w:rPr>
        <w:t xml:space="preserve"> </w:t>
      </w:r>
      <w:r>
        <w:rPr>
          <w:i/>
          <w:b/>
        </w:rPr>
        <w:t xml:space="preserve">(17)</w:t>
      </w:r>
      <w:r>
        <w:rPr>
          <w:i/>
          <w:b/>
        </w:rPr>
        <w:t xml:space="preserve">, Low Energy Demand (LED)</w:t>
      </w:r>
      <w:r>
        <w:rPr>
          <w:i/>
          <w:b/>
        </w:rPr>
        <w:t xml:space="preserve"> </w:t>
      </w:r>
      <w:r>
        <w:rPr>
          <w:i/>
          <w:b/>
        </w:rPr>
        <w:t xml:space="preserve">(2)</w:t>
      </w:r>
      <w:r>
        <w:rPr>
          <w:i/>
          <w:b/>
        </w:rPr>
        <w:t xml:space="preserve">, Decent Living Energy (DLE)</w:t>
      </w:r>
      <w:r>
        <w:rPr>
          <w:i/>
          <w:b/>
        </w:rPr>
        <w:t xml:space="preserve"> </w:t>
      </w:r>
      <w:r>
        <w:rPr>
          <w:i/>
          <w:b/>
        </w:rPr>
        <w:t xml:space="preserve">(4)</w:t>
      </w:r>
      <w:r>
        <w:rPr>
          <w:i/>
          <w:b/>
        </w:rPr>
        <w:t xml:space="preserv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converted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(17)</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All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(17)</w:t>
      </w:r>
      <w:r>
        <w:t xml:space="preserve">.</w:t>
      </w:r>
    </w:p>
    <w:p>
      <w:pPr>
        <w:pStyle w:val="BodyText"/>
      </w:pPr>
      <w:r>
        <w:t xml:space="preserve">It is more difficult to determine a lower limit for the minimum amount of energy use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These low energy use estimates are then scaled up to calculate the level of total global energy supply required to meet them for the global population. However, these scenarios rely on socio-technological transformations on a scale that, especially at the lower end, far exceed the current political discourse on the subject. They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(28)</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energy footprints from actual household consumption, we calculated a counterfactual where all European deciles used the best technology available in 2015 (Figure 4). In practice, this corresponds, for example, to the need for large-scale investments in the technical efficiency of heat, electricity and hot water supply, especially in Eastern Europe</w:t>
      </w:r>
      <w:r>
        <w:t xml:space="preserve"> </w:t>
      </w:r>
      <w:r>
        <w:t xml:space="preserve">(23)</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(14)</w:t>
      </w:r>
      <w:r>
        <w:t xml:space="preserve"> </w:t>
      </w:r>
      <w:r>
        <w:t xml:space="preserve">(29)</w:t>
      </w:r>
      <w:r>
        <w:t xml:space="preserve">.</w:t>
      </w:r>
    </w:p>
    <w:p>
      <w:pPr>
        <w:pStyle w:val="BodyText"/>
      </w:pPr>
      <w:r>
        <w:t xml:space="preserve">Around 19 EJ would have been saved in total in 2015, if all deciles had the same energy intensity per final consumption category as the top decile. The mean energy footprint would have been 217 GJ/ae instead of 275 GJ/ae and the energy footprint of the bottom decile would have been less than half its 2015 value (Figure 4a). The saved energy would have been especially large in Eastern Europe, over 60% for Bulgaria and Estonia for example (Figure 4b). Energy inequality would have been higher, at a 10:10 ratio of 7.6 (close to expenditure inequality, at 7.2, as the differences in intensity per decile are removed but differences in the consumption baskets remain),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scaled down the energy footprint across European expenditure deciles to meet supply constraints on average and, where necessary, adjusted the distribution to not undershoot minimum energy use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final energy use for a decent life. The energy supply scenarios do not include specific details about how the energy footprints are distributed within countries</w:t>
      </w:r>
      <w:r>
        <w:t xml:space="preserve"> </w:t>
      </w:r>
      <w:r>
        <w:t xml:space="preserve">(1)</w:t>
      </w:r>
      <w:r>
        <w:t xml:space="preserve"> </w:t>
      </w:r>
      <w:r>
        <w:t xml:space="preserve">(30)</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Maximum average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Maximum average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energy use for a decent life (on the x-axis) with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use below 27 GJ/ae, which is roughly the value the LED scenario gives for the world in 2050. If we use the value given for the Global North at around 53 GJ/ae as minimum energy use for a decent life,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targets of the different 1.5°C compatible scenarios, the best technology adjusted household energy footprints need to be reduced in all European countries and across almost all expenditure groups. The carbon intensity of energy services needs to be reduced across all expenditure groups. The focus in the lower deciles should be on efficiency improvements, and in the upper deciles on absolute reductions in energy consumption</w:t>
      </w:r>
      <w:r>
        <w:t xml:space="preserve"> </w:t>
      </w:r>
      <w:r>
        <w:t xml:space="preserve">(31)</w:t>
      </w:r>
      <w:r>
        <w:t xml:space="preserve"> </w:t>
      </w:r>
      <w:r>
        <w:t xml:space="preserve">(32)</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the important insight of our study is, that each increase in the minimum energy use for a decent life inevitably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intensity and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(14)</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Europe’s and in particular the eurozone’s current institutions offer little monetary or fiscal leeway to its member states, especially the less wealthy where it would be particularly important, to strengthen or introduce such measures. In the eurozone,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(33)</w:t>
      </w:r>
      <w:r>
        <w:t xml:space="preserve">. In general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(34)</w:t>
      </w:r>
      <w:r>
        <w:t xml:space="preserve">. In addition, other distribution and transfer instruments</w:t>
      </w:r>
      <w:r>
        <w:t xml:space="preserve"> </w:t>
      </w:r>
      <w:r>
        <w:t xml:space="preserve">(35)</w:t>
      </w:r>
      <w:r>
        <w:t xml:space="preserve">, such as wealth and inheritance taxes, or more progressive income taxes</w:t>
      </w:r>
      <w:r>
        <w:t xml:space="preserve"> </w:t>
      </w:r>
      <w:r>
        <w:t xml:space="preserve">(36)</w:t>
      </w:r>
      <w:r>
        <w:t xml:space="preserve">, will have to be discussed in order to reduce the large differences in purchasing power within and between the countries of Europe, at least as long as expenditure remains coupled to environmental footprints</w:t>
      </w:r>
      <w:r>
        <w:t xml:space="preserve"> </w:t>
      </w:r>
      <w:r>
        <w:t xml:space="preserve">(37)</w:t>
      </w:r>
      <w:r>
        <w:t xml:space="preserve">.</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(37)</w:t>
      </w:r>
      <w:r>
        <w:t xml:space="preserve"> </w:t>
      </w:r>
      <w:r>
        <w:t xml:space="preserve">(38)</w:t>
      </w:r>
      <w:r>
        <w:t xml:space="preserve"> </w:t>
      </w:r>
      <w:r>
        <w:t xml:space="preserve">(39)</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(40)</w:t>
      </w:r>
      <w:r>
        <w:t xml:space="preserve"> </w:t>
      </w:r>
      <w:r>
        <w:t xml:space="preserve">(41)</w:t>
      </w:r>
      <w:r>
        <w:t xml:space="preserve"> </w:t>
      </w:r>
      <w:r>
        <w:t xml:space="preserve">(42)</w:t>
      </w:r>
      <w:r>
        <w:t xml:space="preserve"> </w:t>
      </w:r>
      <w:r>
        <w:t xml:space="preserve">(43)</w:t>
      </w:r>
      <w:r>
        <w:t xml:space="preserve"> </w:t>
      </w:r>
      <w:r>
        <w:t xml:space="preserve">(44)</w:t>
      </w:r>
      <w:r>
        <w:t xml:space="preserve"> </w:t>
      </w:r>
      <w:r>
        <w:t xml:space="preserve">(45)</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00" w:name="refs"/>
    <w:bookmarkStart w:id="46"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6"/>
    <w:bookmarkStart w:id="47"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7"/>
    <w:bookmarkStart w:id="48"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48"/>
    <w:bookmarkStart w:id="49"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49"/>
    <w:bookmarkStart w:id="50" w:name="ref-rao_energy_2019"/>
    <w:p>
      <w:pPr>
        <w:pStyle w:val="Bibliography"/>
      </w:pPr>
      <w:r>
        <w:t xml:space="preserve">5. Rao ND, Min J, Mastrucci A. Energy requirements for decent living in India, Brazil and South Africa. Nature Energy. 2019 Dec;4(12):1025–32.</w:t>
      </w:r>
      <w:r>
        <w:t xml:space="preserve"> </w:t>
      </w:r>
    </w:p>
    <w:bookmarkEnd w:id="50"/>
    <w:bookmarkStart w:id="51"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1"/>
    <w:bookmarkStart w:id="52"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2"/>
    <w:bookmarkStart w:id="54" w:name="ref-eurostat_eurostat_2021-4"/>
    <w:p>
      <w:pPr>
        <w:pStyle w:val="Bibliography"/>
      </w:pPr>
      <w:r>
        <w:t xml:space="preserve">8. Eurostat. Eurostat - Data Explorer - Energy used for the provision of goods and services (domestic energy footprint) - input-output analysis [Internet]. 2021 [cited 2021 Feb 10]. Available from:</w:t>
      </w:r>
      <w:r>
        <w:t xml:space="preserve"> </w:t>
      </w:r>
      <w:hyperlink r:id="rId53">
        <w:r>
          <w:rPr>
            <w:rStyle w:val="Hyperlink"/>
          </w:rPr>
          <w:t xml:space="preserve">https://appsso.eurostat.ec.europa.eu/nui/show.do?dataset=env_ac_pefafp&amp;lang=en</w:t>
        </w:r>
      </w:hyperlink>
    </w:p>
    <w:bookmarkEnd w:id="54"/>
    <w:bookmarkStart w:id="56" w:name="ref-eurostat_eurostat_2021-5"/>
    <w:p>
      <w:pPr>
        <w:pStyle w:val="Bibliography"/>
      </w:pPr>
      <w:r>
        <w:t xml:space="preserve">9. Eurostat. Eurostat - Data Explorer - Emissions of greenhouse gases and air pollutants from final use of CPA08 products - input-output analysis, ESA 2010 [Internet]. 2021 [cited 2021 Feb 10]. Available from:</w:t>
      </w:r>
      <w:r>
        <w:t xml:space="preserve"> </w:t>
      </w:r>
      <w:hyperlink r:id="rId55">
        <w:r>
          <w:rPr>
            <w:rStyle w:val="Hyperlink"/>
          </w:rPr>
          <w:t xml:space="preserve">https://appsso.eurostat.ec.europa.eu/nui/show.do?dataset=env_ac_io10&amp;lang=en</w:t>
        </w:r>
      </w:hyperlink>
    </w:p>
    <w:bookmarkEnd w:id="56"/>
    <w:bookmarkStart w:id="57"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7"/>
    <w:bookmarkStart w:id="58" w:name="ref-gore_t._confronting_2020"/>
    <w:p>
      <w:pPr>
        <w:pStyle w:val="Bibliography"/>
      </w:pPr>
      <w:r>
        <w:t xml:space="preserve">11. Gore, T., Alestig, M. Confronting carbon inequality in the European Union. Oxfam International; 2020.</w:t>
      </w:r>
      <w:r>
        <w:t xml:space="preserve"> </w:t>
      </w:r>
    </w:p>
    <w:bookmarkEnd w:id="58"/>
    <w:bookmarkStart w:id="59"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59"/>
    <w:bookmarkStart w:id="60"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0"/>
    <w:bookmarkStart w:id="62" w:name="X4d7f8dadc9cc10bd19aa1d121dc1c6e986790bb"/>
    <w:p>
      <w:pPr>
        <w:pStyle w:val="Bibliography"/>
      </w:pPr>
      <w:r>
        <w:t xml:space="preserve">14. European Commission. Communication on The European Green Deal [Internet]. European Commission - European Commission. 2019 [cited 2020 Jul 6]. Available from:</w:t>
      </w:r>
      <w:r>
        <w:t xml:space="preserve"> </w:t>
      </w:r>
      <w:hyperlink r:id="rId61">
        <w:r>
          <w:rPr>
            <w:rStyle w:val="Hyperlink"/>
          </w:rPr>
          <w:t xml:space="preserve">https://ec.europa.eu/info/publications/communication-european-green-deal_en</w:t>
        </w:r>
      </w:hyperlink>
    </w:p>
    <w:bookmarkEnd w:id="62"/>
    <w:bookmarkStart w:id="64" w:name="ref-eurostat_database_2021"/>
    <w:p>
      <w:pPr>
        <w:pStyle w:val="Bibliography"/>
      </w:pPr>
      <w:r>
        <w:t xml:space="preserve">15. Eurostat. Database - Household budget surveys - Eurostat [Internet]. 2021 [cited 2020 May 22].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16.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iiasa_gea_2012"/>
    <w:p>
      <w:pPr>
        <w:pStyle w:val="Bibliography"/>
      </w:pPr>
      <w:r>
        <w:t xml:space="preserve">17. IIASA. GEA Scenario database (public) [Internet]. 2012 [cited 2020 Oct 1]. Available from:</w:t>
      </w:r>
      <w:r>
        <w:t xml:space="preserve"> </w:t>
      </w:r>
      <w:hyperlink r:id="rId67">
        <w:r>
          <w:rPr>
            <w:rStyle w:val="Hyperlink"/>
          </w:rPr>
          <w:t xml:space="preserve">https://tntcat.iiasa.ac.at/geadb/dsd?Action=htmlpage&amp;page=about</w:t>
        </w:r>
      </w:hyperlink>
    </w:p>
    <w:bookmarkEnd w:id="68"/>
    <w:bookmarkStart w:id="69" w:name="ref-sommer_carbon_2017"/>
    <w:p>
      <w:pPr>
        <w:pStyle w:val="Bibliography"/>
      </w:pPr>
      <w:r>
        <w:t xml:space="preserve">18. Sommer M, Kratena K. The Carbon Footprint of European Households and Income Distribution. Ecological Economics. 2017;136(C):62–72.</w:t>
      </w:r>
      <w:r>
        <w:t xml:space="preserve"> </w:t>
      </w:r>
    </w:p>
    <w:bookmarkEnd w:id="69"/>
    <w:bookmarkStart w:id="70" w:name="ref-hubacek_global_2017"/>
    <w:p>
      <w:pPr>
        <w:pStyle w:val="Bibliography"/>
      </w:pPr>
      <w:r>
        <w:t xml:space="preserve">19. Hubacek K, Baiocchi G, Feng K, Muñoz Castillo R, Sun L, Xue J. Global carbon inequality. Energy, Ecology and Environment. 2017 Dec;2(6):361–9.</w:t>
      </w:r>
      <w:r>
        <w:t xml:space="preserve"> </w:t>
      </w:r>
    </w:p>
    <w:bookmarkEnd w:id="70"/>
    <w:bookmarkStart w:id="71"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1"/>
    <w:bookmarkStart w:id="72" w:name="ref-scruggs_political_1998"/>
    <w:p>
      <w:pPr>
        <w:pStyle w:val="Bibliography"/>
      </w:pPr>
      <w:r>
        <w:t xml:space="preserve">21. Scruggs L. Political and economic inequality and the environment. Ecological Economics. 1998;26(3):259–75.</w:t>
      </w:r>
      <w:r>
        <w:t xml:space="preserve"> </w:t>
      </w:r>
    </w:p>
    <w:bookmarkEnd w:id="72"/>
    <w:bookmarkStart w:id="73"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3"/>
    <w:bookmarkStart w:id="74" w:name="ref-bianco_understanding_2019"/>
    <w:p>
      <w:pPr>
        <w:pStyle w:val="Bibliography"/>
      </w:pPr>
      <w:r>
        <w:t xml:space="preserve">23. Bianco V, Cascetta F, Marino A, Nardini S. Understanding energy consumption and carbon emissions in Europe: A focus on inequality issues. Energy. 2019 Mar;170:120–30.</w:t>
      </w:r>
      <w:r>
        <w:t xml:space="preserve"> </w:t>
      </w:r>
    </w:p>
    <w:bookmarkEnd w:id="74"/>
    <w:bookmarkStart w:id="75" w:name="ref-kerkhof_determinants_2009"/>
    <w:p>
      <w:pPr>
        <w:pStyle w:val="Bibliography"/>
      </w:pPr>
      <w:r>
        <w:t xml:space="preserve">24. Kerkhof AC, Benders RMJ, Moll HC. Determinants of variation in household CO2 emissions between and within countries. Energy Policy. 2009;37(4):1509–17.</w:t>
      </w:r>
      <w:r>
        <w:t xml:space="preserve"> </w:t>
      </w:r>
    </w:p>
    <w:bookmarkEnd w:id="75"/>
    <w:bookmarkStart w:id="77" w:name="ref-eurostat_eurostat_2021-3"/>
    <w:p>
      <w:pPr>
        <w:pStyle w:val="Bibliography"/>
      </w:pPr>
      <w:r>
        <w:t xml:space="preserve">25. Eurostat. Eurostat - Data Explorer - Production of electricity and derived heat by type of fuel [Internet]. 2021 [cited 2020 Oct 1]. Available from:</w:t>
      </w:r>
      <w:r>
        <w:t xml:space="preserve"> </w:t>
      </w:r>
      <w:hyperlink r:id="rId76">
        <w:r>
          <w:rPr>
            <w:rStyle w:val="Hyperlink"/>
          </w:rPr>
          <w:t xml:space="preserve">https://appsso.eurostat.ec.europa.eu/nui/show.do?dataset=nrg_bal_peh&amp;lang=en</w:t>
        </w:r>
      </w:hyperlink>
    </w:p>
    <w:bookmarkEnd w:id="77"/>
    <w:bookmarkStart w:id="78" w:name="ref-werner_international_2017"/>
    <w:p>
      <w:pPr>
        <w:pStyle w:val="Bibliography"/>
      </w:pPr>
      <w:r>
        <w:t xml:space="preserve">26. Werner S. International review of district heating and cooling. Energy. 2017 Oct;137:617–31.</w:t>
      </w:r>
      <w:r>
        <w:t xml:space="preserve"> </w:t>
      </w:r>
    </w:p>
    <w:bookmarkEnd w:id="78"/>
    <w:bookmarkStart w:id="79" w:name="ref-sovacool_reviewing_2017"/>
    <w:p>
      <w:pPr>
        <w:pStyle w:val="Bibliography"/>
      </w:pPr>
      <w:r>
        <w:t xml:space="preserve">27. Sovacool BK. Reviewing, Reforming, and Rethinking Global Energy Subsidies: Towards a Political Economy Research Agenda. Ecological Economics. 2017 May;135:150–63.</w:t>
      </w:r>
      <w:r>
        <w:t xml:space="preserve"> </w:t>
      </w:r>
    </w:p>
    <w:bookmarkEnd w:id="79"/>
    <w:bookmarkStart w:id="81" w:name="ref-eurostat_living_2020"/>
    <w:p>
      <w:pPr>
        <w:pStyle w:val="Bibliography"/>
      </w:pPr>
      <w:r>
        <w:t xml:space="preserve">28. Eurostat. Living conditions in Europe - material deprivation and economic strain - Statistics Explained [Internet]. 2020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european_commission_european_2020"/>
    <w:p>
      <w:pPr>
        <w:pStyle w:val="Bibliography"/>
      </w:pPr>
      <w:r>
        <w:t xml:space="preserve">29. European Commission. The European Green Deal Investment Plan and JTM explained [Internet]. European Commission - European Commission. 2020 [cited 2020 Aug 7]. Available from:</w:t>
      </w:r>
      <w:r>
        <w:t xml:space="preserve"> </w:t>
      </w:r>
      <w:hyperlink r:id="rId82">
        <w:r>
          <w:rPr>
            <w:rStyle w:val="Hyperlink"/>
          </w:rPr>
          <w:t xml:space="preserve">https://ec.europa.eu/commission/presscorner/detail/en/qanda_20_24</w:t>
        </w:r>
      </w:hyperlink>
    </w:p>
    <w:bookmarkEnd w:id="83"/>
    <w:bookmarkStart w:id="84" w:name="ref-rao_improving_2017"/>
    <w:p>
      <w:pPr>
        <w:pStyle w:val="Bibliography"/>
      </w:pPr>
      <w:r>
        <w:t xml:space="preserve">30. Rao ND, Ruijven BJ van, Riahi K, Bosetti V. Improving poverty and inequality modelling in climate research. Nature Climate Change. 2017 Dec;7(12):857–62.</w:t>
      </w:r>
      <w:r>
        <w:t xml:space="preserve"> </w:t>
      </w:r>
    </w:p>
    <w:bookmarkEnd w:id="84"/>
    <w:bookmarkStart w:id="85" w:name="ref-alfredsson_why_2018"/>
    <w:p>
      <w:pPr>
        <w:pStyle w:val="Bibliography"/>
      </w:pPr>
      <w:r>
        <w:t xml:space="preserve">31. Alfredsson E, Bengtsson M, Brown HS, Isenhour C, Lorek S, Stevis D, et al. Why achieving the Paris Agreement requires reduced overall consumption and production. Sustainability: Science, Practice and Policy. 2018 Jan;14(1):1–5.</w:t>
      </w:r>
      <w:r>
        <w:t xml:space="preserve"> </w:t>
      </w:r>
    </w:p>
    <w:bookmarkEnd w:id="85"/>
    <w:bookmarkStart w:id="86" w:name="ref-royston_invisible_2018"/>
    <w:p>
      <w:pPr>
        <w:pStyle w:val="Bibliography"/>
      </w:pPr>
      <w:r>
        <w:t xml:space="preserve">32. Royston S, Selby J, Shove E. Invisible energy policies: A new agenda for energy demand reduction. Energy Policy. 2018 Dec;123:127–35.</w:t>
      </w:r>
      <w:r>
        <w:t xml:space="preserve"> </w:t>
      </w:r>
    </w:p>
    <w:bookmarkEnd w:id="86"/>
    <w:bookmarkStart w:id="87" w:name="ref-european_parliament_ecbs_2020"/>
    <w:p>
      <w:pPr>
        <w:pStyle w:val="Bibliography"/>
      </w:pPr>
      <w:r>
        <w:t xml:space="preserve">33.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7"/>
    <w:bookmarkStart w:id="88" w:name="ref-klenert_making_2018"/>
    <w:p>
      <w:pPr>
        <w:pStyle w:val="Bibliography"/>
      </w:pPr>
      <w:r>
        <w:t xml:space="preserve">34. Klenert D, Mattauch L, Combet E, Edenhofer O, Hepburn C, Rafaty R, et al. Making carbon pricing work for citizens. Nature Climate Change. 2018 Aug;8(8):669–77.</w:t>
      </w:r>
      <w:r>
        <w:t xml:space="preserve"> </w:t>
      </w:r>
    </w:p>
    <w:bookmarkEnd w:id="88"/>
    <w:bookmarkStart w:id="89" w:name="ref-gough_recomposing_2017"/>
    <w:p>
      <w:pPr>
        <w:pStyle w:val="Bibliography"/>
      </w:pPr>
      <w:r>
        <w:t xml:space="preserve">35. Gough I. Recomposing consumption: Defining necessities for sustainable and equitable well-being. Philosophical Transactions of the Royal Society A: Mathematical, Physical and Engineering Sciences. 2017 Jun;375(2095):20160379.</w:t>
      </w:r>
      <w:r>
        <w:t xml:space="preserve"> </w:t>
      </w:r>
    </w:p>
    <w:bookmarkEnd w:id="89"/>
    <w:bookmarkStart w:id="90" w:name="ref-chancel_carbon_2015"/>
    <w:p>
      <w:pPr>
        <w:pStyle w:val="Bibliography"/>
      </w:pPr>
      <w:r>
        <w:t xml:space="preserve">36. Chancel L, Piketty, Thomas. Carbon and inequality: From Kyoto to Paris. Paris School of Economics. 2015;</w:t>
      </w:r>
      <w:r>
        <w:t xml:space="preserve"> </w:t>
      </w:r>
    </w:p>
    <w:bookmarkEnd w:id="90"/>
    <w:bookmarkStart w:id="91" w:name="ref-haberl_systematic_2020"/>
    <w:p>
      <w:pPr>
        <w:pStyle w:val="Bibliography"/>
      </w:pPr>
      <w:r>
        <w:t xml:space="preserve">37. Haberl H, Wiedenhofer D, Virág D, Kalt G, Plank B, Brockway P, et al. A systematic review of the evidence on decoupling of GDP, resource use and GHG emissions, part II: Synthesizing the insights. Environmental Research Letters. 2020;</w:t>
      </w:r>
      <w:r>
        <w:t xml:space="preserve"> </w:t>
      </w:r>
    </w:p>
    <w:bookmarkEnd w:id="91"/>
    <w:bookmarkStart w:id="92" w:name="ref-dalessandro_feasible_2020"/>
    <w:p>
      <w:pPr>
        <w:pStyle w:val="Bibliography"/>
      </w:pPr>
      <w:r>
        <w:t xml:space="preserve">38. D’Alessandro S, Cieplinski A, Distefano T, Dittmer K. Feasible alternatives to green growth. Nature Sustainability. 2020 Apr;3(4):329–35.</w:t>
      </w:r>
      <w:r>
        <w:t xml:space="preserve"> </w:t>
      </w:r>
    </w:p>
    <w:bookmarkEnd w:id="92"/>
    <w:bookmarkStart w:id="93" w:name="ref-millward-hopkins_fair_2021"/>
    <w:p>
      <w:pPr>
        <w:pStyle w:val="Bibliography"/>
      </w:pPr>
      <w:r>
        <w:t xml:space="preserve">39. Millward-Hopkins J, Oswald Y. Fair inequality, consumption and climate mitigation. Environmental Research Letters. 2021 Feb;16(3):034007.</w:t>
      </w:r>
      <w:r>
        <w:t xml:space="preserve"> </w:t>
      </w:r>
    </w:p>
    <w:bookmarkEnd w:id="93"/>
    <w:bookmarkStart w:id="94" w:name="ref-hubacek_poverty_2017"/>
    <w:p>
      <w:pPr>
        <w:pStyle w:val="Bibliography"/>
      </w:pPr>
      <w:r>
        <w:t xml:space="preserve">40. Hubacek K, Baiocchi G, Feng K, Patwardhan A. Poverty eradication in a carbon constrained world. Nature Communications. 2017 Oct;8(1):1–9.</w:t>
      </w:r>
      <w:r>
        <w:t xml:space="preserve"> </w:t>
      </w:r>
    </w:p>
    <w:bookmarkEnd w:id="94"/>
    <w:bookmarkStart w:id="95" w:name="ref-woodward_incrementum_2015"/>
    <w:p>
      <w:pPr>
        <w:pStyle w:val="Bibliography"/>
      </w:pPr>
      <w:r>
        <w:t xml:space="preserve">41. Woodward D. Incrementum ad Absurdum: Global Growth, Inequality and Poverty Eradication in a Carbon-Constrained World. World Social and Economic Review. 2015 Feb;2015(No 4, 2015):43.</w:t>
      </w:r>
      <w:r>
        <w:t xml:space="preserve"> </w:t>
      </w:r>
    </w:p>
    <w:bookmarkEnd w:id="95"/>
    <w:bookmarkStart w:id="96" w:name="ref-sovacool_dispossessed_2021"/>
    <w:p>
      <w:pPr>
        <w:pStyle w:val="Bibliography"/>
      </w:pPr>
      <w:r>
        <w:t xml:space="preserve">42. Sovacool BK, Turnheim B, Hook A, Brock A, Martiskainen M. Dispossessed by decarbonisation: Reducing vulnerability, injustice, and inequality in the lived experience of low-carbon pathways. World Development. 2021 Jan;137:105116.</w:t>
      </w:r>
      <w:r>
        <w:t xml:space="preserve"> </w:t>
      </w:r>
    </w:p>
    <w:bookmarkEnd w:id="96"/>
    <w:bookmarkStart w:id="97" w:name="ref-kartha_carbon_2020"/>
    <w:p>
      <w:pPr>
        <w:pStyle w:val="Bibliography"/>
      </w:pPr>
      <w:r>
        <w:t xml:space="preserve">43. Kartha S, Kemp-Benedict E, Ghosh E, Nazareth A. The Carbon Inequality Era: An assessment of the global distribution of consumption emissions among individuals from 1990 to 2015 and beyond. Joint Research Report. Stockholm Environment Institute; Oxfam International. 2020 Sep.</w:t>
      </w:r>
      <w:r>
        <w:t xml:space="preserve"> </w:t>
      </w:r>
    </w:p>
    <w:bookmarkEnd w:id="97"/>
    <w:bookmarkStart w:id="98" w:name="ref-lamb_what_2020"/>
    <w:p>
      <w:pPr>
        <w:pStyle w:val="Bibliography"/>
      </w:pPr>
      <w:r>
        <w:t xml:space="preserve">44. Lamb WF, Antal M, Bohnenberger K, Brand-Correa LI, Müller-Hansen F, Jakob M, et al. What are the social outcomes of climate policies? A systematic map and review of the ex-post literature. Environmental Research Letters. 2020;</w:t>
      </w:r>
      <w:r>
        <w:t xml:space="preserve"> </w:t>
      </w:r>
    </w:p>
    <w:bookmarkEnd w:id="98"/>
    <w:bookmarkStart w:id="99" w:name="ref-oswald_global_2021"/>
    <w:p>
      <w:pPr>
        <w:pStyle w:val="Bibliography"/>
      </w:pPr>
      <w:r>
        <w:t xml:space="preserve">45. Oswald Y, Steinberger JK, Ivanova D, Millward-Hopkins J. Global redistribution of income and household energy footprints: A computational thought experiment. Global Sustainability. 2021;4.</w:t>
      </w:r>
      <w:r>
        <w:t xml:space="preserve"> </w:t>
      </w:r>
    </w:p>
    <w:bookmarkEnd w:id="99"/>
    <w:bookmarkEnd w:id="100"/>
    <w:p>
      <w:r>
        <w:br w:type="page"/>
      </w:r>
    </w:p>
    <w:p>
      <w:pPr>
        <w:pStyle w:val="Heading3"/>
      </w:pPr>
      <w:bookmarkStart w:id="101" w:name="colophon"/>
      <w:r>
        <w:t xml:space="preserve">Colophon</w:t>
      </w:r>
      <w:bookmarkEnd w:id="101"/>
    </w:p>
    <w:p>
      <w:pPr>
        <w:pStyle w:val="FirstParagraph"/>
      </w:pPr>
      <w:r>
        <w:t xml:space="preserve">This report was generated on 2021-02-22 17:08:18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2021-02-22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[89f392b] 2021-02-22: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6" Target="https://appsso.eurostat.ec.europa.eu/nui/show.do?dataset=nrg_bal_peh&amp;lang=en" TargetMode="External" /><Relationship Type="http://schemas.openxmlformats.org/officeDocument/2006/relationships/hyperlink" Id="rId82"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61" Target="https://ec.europa.eu/info/publications/communication-european-green-deal_en" TargetMode="External" /><Relationship Type="http://schemas.openxmlformats.org/officeDocument/2006/relationships/hyperlink" Id="rId67" Target="https://tntcat.iiasa.ac.at/geadb/dsd?Action=htmlpage&amp;page=about" TargetMode="External" /></Relationships>
</file>

<file path=word/_rels/footnotes.xml.rels><?xml version="1.0" encoding="UTF-8"?>
<Relationships xmlns="http://schemas.openxmlformats.org/package/2006/relationships"><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6" Target="https://appsso.eurostat.ec.europa.eu/nui/show.do?dataset=nrg_bal_peh&amp;lang=en" TargetMode="External" /><Relationship Type="http://schemas.openxmlformats.org/officeDocument/2006/relationships/hyperlink" Id="rId82"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61" Target="https://ec.europa.eu/info/publications/communication-european-green-deal_en" TargetMode="External" /><Relationship Type="http://schemas.openxmlformats.org/officeDocument/2006/relationships/hyperlink" Id="rId67" Target="https://tntcat.iiasa.ac.at/geadb/dsd?Action=htmlpage&amp;page=abou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2021-02-22T16:08:20Z</dcterms:created>
  <dcterms:modified xsi:type="dcterms:W3CDTF">2021-02-22T16:08:20Z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