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 The call for a decent life for all within planetary limits poses a dual challenge: Provide all people with the essential resources needed to live well and, collectively, to not exceed the source and sink capacity of the biosphere to sustain human societies. In this paper, we examine the corridor of possible distributions of household energy and carbon footprints for the populations of 28 European countries that satisfy both minimum energy requirements for a decent living and maximum supply of decarbonised energy to achieve the 1.5°C target in 2050. We constructed household energy and carbon footprints for harmonized European expenditure deciles in 2015 by combining data from national Household Budget Surveys (HBS) provided by EUROSTAT, with the Environmentally-Extended Multi-Regional Input-Output (EE-MRIO) model EXIOBASE. Estimates for a range of minimum energy requirements for a decent life, as well as estimates for the maximum available energy supply, were taken from the 1.5°C scenario literature. We found a top decile to bottom decile ratio of 7.2 for expenditure, 3.5 for energy and 2.6 for carbon, largely attributable to inefficient energy and heating technologies in the four bottom deciles that are predominantly located in Eastern European countries. Adopting best technology in all European deciles would save 19 EJ per year and equalize expenditure, energy and carbon inequality. At those inequality levels, the dual goal can only be achieved through CCS deployment, large and fast efficiency improvements, plus extremely low minimum energy requirements of 27 GJ per adult equivalent (as compared to currently 130 GJ/ae in the lowest decile). When around 50 GJ/ae minimum energy requirements for a decent living and no CCS deployment is assumed, the mathematical possible inequality to also achieve the 1.5°C target becomes practically zero. We conclude that for Europe and the eurozone, combining the goals of providing enough energy for a decent living and achieving the Paris agreement poses an immense and widely underestimated challenge, one which will likely require substantial monetary and fiscal leeway.</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depending on different assumptions about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Maximum possible energy supply and minimum required energy demand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Depending on the assumptions of different global decarbonisation scenarios, the average footprints likely need to be reduced to between 15.3 and 100 GJ per capita</w:t>
      </w:r>
      <w:r>
        <w:t xml:space="preserve"> </w:t>
      </w:r>
      <w:r>
        <w:t xml:space="preserve">(2)</w:t>
      </w:r>
      <w:r>
        <w:t xml:space="preserve">, or 0.5 and 2.1 tCO2eq per capita</w:t>
      </w:r>
      <w:r>
        <w:t xml:space="preserve"> </w:t>
      </w:r>
      <w:r>
        <w:t xml:space="preserve">(14)</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household energy and carbon footprints for harmonized European expenditure deciles in 2015, combining data from EUROSTAT’s Household Budget Survey (HBS) with the Environmentally-Extended Multi-Regional Input-Output (EE-MRIO) model EXIOBASE. We analyze the distribution of energy and carbon intensities across European expenditure deciles and final consumption categories, and compare this current structure to a hypothetical situation where all European expenditure deciles use the best technology available in Europe.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already recognizes that inequalities in income, energy infrastructure, energy consumption, and carbon emissions, lead to different responsibilities and capacities in achieving the energy and emission savings targets</w:t>
      </w:r>
      <w:r>
        <w:t xml:space="preserve"> </w:t>
      </w:r>
      <w:r>
        <w:t xml:space="preserve">(15)</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first used the EE-MRIO model EXIOBASE for 2015 (version3, industry-by-industry)</w:t>
      </w:r>
      <w:r>
        <w:t xml:space="preserve"> </w:t>
      </w:r>
      <w:r>
        <w:t xml:space="preserve">(8)</w:t>
      </w:r>
      <w:r>
        <w:t xml:space="preserve"> </w:t>
      </w:r>
      <w:r>
        <w:t xml:space="preserve">and the European HBS macro-data from EUROSTAT for 2015</w:t>
      </w:r>
      <w:r>
        <w:t xml:space="preserve"> </w:t>
      </w:r>
      <w:r>
        <w:t xml:space="preserve">(16)</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We mapped each EXIOBASE sector to one of the COICOP consumption categories in the EUROSTAT HBS. We then used the relative expenditure shares of each income quintile on the COICOP consumption categories in the HBS, to stratify the matching EXIOBASE national household final demand expenditure per sector by income quintile, according to those relative HBS expenditure shares.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now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(8)</w:t>
      </w:r>
      <w:r>
        <w:t xml:space="preserve">, and the EXIOBASE greenhouse gas (GHG) emission extensions CO2, CH4, N2O, SF6, HFCs, and PFCs (all in CO2-equivalence), from combustion, non-combustion, agriculture and waste, but not land-use change</w:t>
      </w:r>
      <w:r>
        <w:t xml:space="preserve"> </w:t>
      </w:r>
      <w:r>
        <w:t xml:space="preserve">(8)</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Turkey and the UK,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how the EUROSTAT HBS publishes its data. The first adult in the household is given a weight of 1.0, each adult thereafter 0.5, and each child 0.3</w:t>
      </w:r>
      <w:r>
        <w:t xml:space="preserve"> </w:t>
      </w:r>
      <w:r>
        <w:t xml:space="preserve">(17)</w:t>
      </w:r>
      <w:r>
        <w:t xml:space="preserve">.</w:t>
      </w:r>
    </w:p>
    <w:p>
      <w:pPr>
        <w:pStyle w:val="BodyText"/>
      </w:pPr>
      <w:r>
        <w:t xml:space="preserve">For our calculations of attainable corridors for achieving the dual goal of climate protection and a decent standard of living for all, we adjusted the total per capita results from published 1.5°C decarbonisation scenarios to household adult equivalents in order to better compare them with our environmental footprint estimates. Estimates of minimum final energy required for a decent standard of living are from Grubler et al. (2018)</w:t>
      </w:r>
      <w:r>
        <w:t xml:space="preserve"> </w:t>
      </w:r>
      <w:r>
        <w:t xml:space="preserve">(2)</w:t>
      </w:r>
      <w:r>
        <w:t xml:space="preserve"> </w:t>
      </w:r>
      <w:r>
        <w:t xml:space="preserve">and Millward-Hopkins et al. (2020)</w:t>
      </w:r>
      <w:r>
        <w:t xml:space="preserve"> </w:t>
      </w:r>
      <w:r>
        <w:t xml:space="preserve">(4)</w:t>
      </w:r>
      <w:r>
        <w:t xml:space="preserve">, while maximum final energy compatible with the 1.5°C target is from the decarbonisation scenarios in the International Institute for Applied Systems Analysis (IIASA) scenario database</w:t>
      </w:r>
      <w:r>
        <w:t xml:space="preserve"> </w:t>
      </w:r>
      <w:r>
        <w:t xml:space="preserve">(1)</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ermissible-inequality"/>
      <w:r>
        <w:t xml:space="preserve">Computing maximum permissible inequality</w:t>
      </w:r>
      <w:bookmarkEnd w:id="25"/>
    </w:p>
    <w:p>
      <w:pPr>
        <w:pStyle w:val="FirstParagraph"/>
      </w:pPr>
      <w:r>
        <w:t xml:space="preserve">Based on a hypothetical best available technology distribution across European expenditure deciles, for each value combination of maximum energy supply from four scenarios</w:t>
      </w:r>
      <w:r>
        <w:t xml:space="preserve"> </w:t>
      </w:r>
      <w:r>
        <w:t xml:space="preserve">(1)</w:t>
      </w:r>
      <w:r>
        <w:t xml:space="preserve"> </w:t>
      </w:r>
      <w:r>
        <w:t xml:space="preserve">and minimum energy requirements from refs.</w:t>
      </w:r>
      <w:r>
        <w:t xml:space="preserve"> </w:t>
      </w:r>
      <w:r>
        <w:t xml:space="preserve">(2)</w:t>
      </w:r>
      <w:r>
        <w:t xml:space="preserve"> </w:t>
      </w:r>
      <w:r>
        <w:t xml:space="preserve">and</w:t>
      </w:r>
      <w:r>
        <w:t xml:space="preserve"> </w:t>
      </w:r>
      <w:r>
        <w:t xml:space="preserve">(4)</w:t>
      </w:r>
      <w:r>
        <w:t xml:space="preserve">, the maximum permissible inequality was calculated as a 10:10 ratio using the formula [insert formula]. All data and procedures are described in more detail in the supplementary information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t xml:space="preserve">Figure 2: 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services and housing expenditures increase and the shares of food and goods decrease. The bottom decile spent an average of 23.9% of their household expenditure on housing, while the top decile spent 26.1%.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and also within Europe</w:t>
      </w:r>
      <w:r>
        <w:t xml:space="preserve"> </w:t>
      </w:r>
      <w:r>
        <w:t xml:space="preserve">(23)</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(26)</w:t>
      </w:r>
      <w:r>
        <w:t xml:space="preserve">, and had a higher average intensity of carbon per MJ of heat delivered than both Europe and the world</w:t>
      </w:r>
      <w:r>
        <w:t xml:space="preserve"> </w:t>
      </w:r>
      <w:r>
        <w:t xml:space="preserve">(27)</w:t>
      </w:r>
      <w:r>
        <w:t xml:space="preserve">. We did not account for energy subsidies here, but different subsidy levels in different countries could also contribute to higher energy and carbon intensities</w:t>
      </w:r>
      <w:r>
        <w:t xml:space="preserve"> </w:t>
      </w:r>
      <w:r>
        <w:t xml:space="preserve">(28)</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are the two largest categories, accounting for nearly two thirds of both the energy and carbon footprints. However, there are large differences between the categories when looking at the respective contributions of each expenditure decile. For housing there is very little difference between deciles in both the energy and the carbon footprint. The bottom four deciles even have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(29)</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from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Household energy and carbon footprints by final consumption category and European expenditure decile in 2015, further broken down by source and location.</w:t>
      </w:r>
      <w:r>
        <w:t xml:space="preserve"> </w:t>
      </w:r>
      <w:r>
        <w:t xml:space="preserve">‘</w:t>
      </w:r>
      <w:r>
        <w:t xml:space="preserve">Direct</w:t>
      </w:r>
      <w:r>
        <w:t xml:space="preserve">’</w:t>
      </w:r>
      <w:r>
        <w:t xml:space="preserve"> </w:t>
      </w:r>
      <w:r>
        <w:t xml:space="preserve">(direct energy use and carbon emissions from households) plus</w:t>
      </w:r>
      <w:r>
        <w:t xml:space="preserve"> </w:t>
      </w:r>
      <w:r>
        <w:t xml:space="preserve">‘</w:t>
      </w:r>
      <w:r>
        <w:t xml:space="preserve">Domestic</w:t>
      </w:r>
      <w:r>
        <w:t xml:space="preserve">’</w:t>
      </w:r>
      <w:r>
        <w:t xml:space="preserve"> </w:t>
      </w:r>
      <w:r>
        <w:t xml:space="preserve">(energy use and carbon emissions from along the domestic national supply chain) make up that part of the household footprint coming from within national borders, while</w:t>
      </w:r>
      <w:r>
        <w:t xml:space="preserve"> </w:t>
      </w:r>
      <w:r>
        <w:t xml:space="preserve">‘</w:t>
      </w:r>
      <w:r>
        <w:t xml:space="preserve">Europe</w:t>
      </w:r>
      <w:r>
        <w:t xml:space="preserve">’</w:t>
      </w:r>
      <w:r>
        <w:t xml:space="preserve"> </w:t>
      </w:r>
      <w:r>
        <w:t xml:space="preserve">is the part from other countries within the sample, and</w:t>
      </w:r>
      <w:r>
        <w:t xml:space="preserve"> </w:t>
      </w:r>
      <w:r>
        <w:t xml:space="preserve">‘</w:t>
      </w:r>
      <w:r>
        <w:t xml:space="preserve">non-Europe</w:t>
      </w:r>
      <w:r>
        <w:t xml:space="preserve">’</w:t>
      </w:r>
      <w:r>
        <w:t xml:space="preserve"> </w:t>
      </w:r>
      <w:r>
        <w:t xml:space="preserve">from all countries outside the sample.</w:t>
      </w:r>
    </w:p>
    <w:p>
      <w:pPr>
        <w:pStyle w:val="BodyText"/>
      </w:pPr>
      <w:r>
        <w:t xml:space="preserve">The geographical source of the energy and carbon footprints also varies by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(15)</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w:t>
      </w:r>
      <w:r>
        <w:t xml:space="preserve"> </w:t>
      </w:r>
      <w:r>
        <w:rPr>
          <w:i/>
        </w:rPr>
        <w:t xml:space="preserve">Decarbonisation scenarios. Scenario: Shared Socioeconomic Pathways (SSP) 1-1.9 and 2-1.9, IEA Energy Technology Perspectives Beyond 2 Degrees (IEA ETP B2DS), Global Energy Assessment (GEA)-efficiency, Low Energy Demand (LED), Decent Living Energy (DLE). Type: distinction between supply-side and demand-side scenarios. GEA-efficiency categorized as a</w:t>
      </w:r>
      <w:r>
        <w:rPr>
          <w:i/>
        </w:rPr>
        <w:t xml:space="preserve"> </w:t>
      </w:r>
      <w:r>
        <w:rPr>
          <w:i/>
        </w:rPr>
        <w:t xml:space="preserve">‘</w:t>
      </w:r>
      <w:r>
        <w:rPr>
          <w:i/>
        </w:rPr>
        <w:t xml:space="preserve">mix</w:t>
      </w:r>
      <w:r>
        <w:rPr>
          <w:i/>
        </w:rPr>
        <w:t xml:space="preserve">’</w:t>
      </w:r>
      <w:r>
        <w:rPr>
          <w:i/>
        </w:rPr>
        <w:t xml:space="preserve"> </w:t>
      </w:r>
      <w:r>
        <w:rPr>
          <w:i/>
        </w:rPr>
        <w:t xml:space="preserve">due to some bottom-up quantifications of final energy demand in some sectors. Final energy in 2050: final energy estimates for 2050 per scenario, adjusted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These scenarios rely on CCS, which is still a fairly speculative technology, and we therefore interpret them as ranges for the upper limits of 1.5°C compatible energy supply</w:t>
      </w:r>
      <w:r>
        <w:t xml:space="preserve"> </w:t>
      </w:r>
      <w:r>
        <w:t xml:space="preserve">(1)</w:t>
      </w:r>
      <w:r>
        <w:t xml:space="preserve">.</w:t>
      </w:r>
    </w:p>
    <w:p>
      <w:pPr>
        <w:pStyle w:val="BodyText"/>
      </w:pPr>
      <w:r>
        <w:t xml:space="preserve">It is more difficult to determine a lower limit for the minimum amount of energy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However, these scenarios rely on socio-technological transformations on a scale that, especially at the lower end, far exceed the current political discourse on the subject. These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(30)</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 These differences will be adjusted in the next step.</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(24)</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(15)</w:t>
      </w:r>
      <w:r>
        <w:t xml:space="preserve">. Figure 4 shows the household energy footprint savings per decile (Figure 4a) that would have occurred in 2015 if all deciles had the same energy intensity per final consumption category as the top decile. Around 19 EJ would have been saved in total, the mean would have been 217 GJ/ae instead of 275 GJ/ae, and the energy footprint of the bottom decile would have been less than half its 2015 value. Figure 4b shows saved energy footprint per country, with Eastern European countries especially saving large proportions of their 2015 footprint, over 60% for Bulgaria and Estonia for example. Energy inequality would have been higher, at a 10:10 ratio of 7.6 (close to expenditure inequality, at 7.2, as the differences in intensity per decile are removed),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then scale down the energy footprint across European expenditure deciles to meet supply constraints on average and, where necessary,</w:t>
      </w:r>
      <w:r>
        <w:t xml:space="preserve"> </w:t>
      </w:r>
      <w:r>
        <w:t xml:space="preserve">“</w:t>
      </w:r>
      <w:r>
        <w:t xml:space="preserve">squeeze</w:t>
      </w:r>
      <w:r>
        <w:t xml:space="preserve">”</w:t>
      </w:r>
      <w:r>
        <w:t xml:space="preserve"> </w:t>
      </w:r>
      <w:r>
        <w:t xml:space="preserve">the distribution to not undershoot minimum energy requirements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required final energy. The energy supply scenarios do not include specific details about how the energy footprints are distributed within countries</w:t>
      </w:r>
      <w:r>
        <w:t xml:space="preserve"> </w:t>
      </w:r>
      <w:r>
        <w:t xml:space="preserve">(1)</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4669971"/>
            <wp:effectExtent b="0" l="0" r="0" t="0"/>
            <wp:docPr descr="Figure 5: Average energy available for Europe in decarbonisation scenarios, positioned in corridor between a range of minimum energy requirements and a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Average energy available for Europe in decarbonisation scenarios, positioned in corridor between a range of minimum energy requirements and a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required energy for a decent standard of living (on the x-axis), to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requirement below 27 GJ/ae, which is roughly the value the LED scenario gives for the world in 2050. If we use the value given for the Global North at around 53 GJ/ae as minimum energy requirement,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targeted in the different 1.5°C compatible scenarios, the energy footprint needs to be reduced in all European countries, as well as almost all expenditure groups. The carbon intensity of energy services needs to be reduced across all expenditure groups. The focus in the lower deciles should be on efficiency improvements, and on absolute reductions in energy consumption in the upper deciles</w:t>
      </w:r>
      <w:r>
        <w:t xml:space="preserve"> </w:t>
      </w:r>
      <w:r>
        <w:t xml:space="preserve">(33)</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each increase in the minimum energy required for a decent life also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(15)</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the current organization of the eurozone offers little monetary or fiscal leeway to EU member states, especially the less wealthy where this would be particularly important, to strengthen or introduce such measures. At the European level,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 [ref]. At least in the eurozone, there is a great need for action to increase the scope for national and/or EU-wide policy making; both to ensure the social protection of citizens and to enable the necessary investments to restructure infrastructure and the economy.</w:t>
      </w:r>
    </w:p>
    <w:p>
      <w:pPr>
        <w:pStyle w:val="BodyText"/>
      </w:pPr>
      <w:r>
        <w:t xml:space="preserve">Strong progressive carbon pricing could have a positive distributional effect besides its effect on absolute emission reduction [ref: MCC/Edenhofer]. In addition, other distribution and transfer instruments such as wealth and inheritance taxes, or more progressive income taxes, will have to be discussed in order to reduce the large differences in purchasing power within and between the countries of Europe</w:t>
      </w:r>
      <w:r>
        <w:t xml:space="preserve"> </w:t>
      </w:r>
      <w:r>
        <w:t xml:space="preserve">(35)</w:t>
      </w:r>
      <w:r>
        <w:t xml:space="preserve">, at least as long as expenditure remains coupled to environmental footprints.</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(37)</w:t>
      </w:r>
      <w:r>
        <w:t xml:space="preserve"> </w:t>
      </w:r>
      <w:r>
        <w:t xml:space="preserve">[ref: D’Alessandro 2020]. Although our empirical investigation is limited to countries in Europe, we contend that our main conclusions apply in a similar or stronger form to the global achievement of climate and equity goals</w:t>
      </w:r>
      <w:r>
        <w:t xml:space="preserve"> </w:t>
      </w:r>
      <w:r>
        <w:t xml:space="preserve">(38)</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1"/>
      </w:pPr>
      <w:bookmarkStart w:id="40" w:name="author-information"/>
      <w:r>
        <w:t xml:space="preserve">Author Information</w:t>
      </w:r>
      <w:bookmarkEnd w:id="40"/>
    </w:p>
    <w:p>
      <w:pPr>
        <w:pStyle w:val="Heading2"/>
      </w:pPr>
      <w:bookmarkStart w:id="41" w:name="corresponding-author"/>
      <w:r>
        <w:t xml:space="preserve">Corresponding Author</w:t>
      </w:r>
      <w:bookmarkEnd w:id="41"/>
    </w:p>
    <w:p>
      <w:pPr>
        <w:pStyle w:val="FirstParagraph"/>
      </w:pPr>
      <w:r>
        <w:t xml:space="preserve">*email:</w:t>
      </w:r>
    </w:p>
    <w:p>
      <w:pPr>
        <w:pStyle w:val="Heading2"/>
      </w:pPr>
      <w:bookmarkStart w:id="42" w:name="author-contributions"/>
      <w:r>
        <w:t xml:space="preserve">Author Contributions</w:t>
      </w:r>
      <w:bookmarkEnd w:id="42"/>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3" w:name="notes"/>
      <w:r>
        <w:t xml:space="preserve">Notes</w:t>
      </w:r>
      <w:bookmarkEnd w:id="43"/>
    </w:p>
    <w:p>
      <w:pPr>
        <w:pStyle w:val="FirstParagraph"/>
      </w:pPr>
      <w:r>
        <w:t xml:space="preserve">The authors declare no competing financial interest.</w:t>
      </w:r>
    </w:p>
    <w:p>
      <w:pPr>
        <w:pStyle w:val="Heading1"/>
      </w:pPr>
      <w:bookmarkStart w:id="44" w:name="acknowledgements"/>
      <w:r>
        <w:t xml:space="preserve">Acknowledgements</w:t>
      </w:r>
      <w:bookmarkEnd w:id="44"/>
    </w:p>
    <w:p>
      <w:pPr>
        <w:pStyle w:val="FirstParagraph"/>
      </w:pPr>
      <w:r>
        <w:t xml:space="preserve">We thank Jakob Napiontek.</w:t>
      </w:r>
    </w:p>
    <w:p>
      <w:r>
        <w:br w:type="page"/>
      </w:r>
    </w:p>
    <w:p>
      <w:pPr>
        <w:pStyle w:val="Heading1"/>
      </w:pPr>
      <w:bookmarkStart w:id="45" w:name="references"/>
      <w:r>
        <w:t xml:space="preserve">References</w:t>
      </w:r>
      <w:bookmarkEnd w:id="45"/>
    </w:p>
    <w:bookmarkStart w:id="127" w:name="refs"/>
    <w:bookmarkStart w:id="47"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46">
        <w:r>
          <w:rPr>
            <w:rStyle w:val="Hyperlink"/>
          </w:rPr>
          <w:t xml:space="preserve">http://www.sciencedirect.com/science/article/pii/S0959378016300681</w:t>
        </w:r>
      </w:hyperlink>
    </w:p>
    <w:bookmarkEnd w:id="47"/>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8">
        <w:r>
          <w:rPr>
            <w:rStyle w:val="Hyperlink"/>
          </w:rPr>
          <w:t xml:space="preserve">https://rdcu.be/SOJx</w:t>
        </w:r>
      </w:hyperlink>
    </w:p>
    <w:bookmarkEnd w:id="49"/>
    <w:bookmarkStart w:id="51" w:name="ref-creutzig_towards_2018"/>
    <w:p>
      <w:pPr>
        <w:pStyle w:val="Bibliography"/>
      </w:pPr>
      <w:r>
        <w:t xml:space="preserve">3. Creutzig F, Roy J, Lamb WF, Azevedo IML, Bruine de Bruin W, Dalkmann H, et al. Towards demand-side solutions for mitigating climate change. Nature Climate Change [Internet]. 2018 Apr [cited 2018 Oct 2];8(4):260–3. Available from:</w:t>
      </w:r>
      <w:r>
        <w:t xml:space="preserve"> </w:t>
      </w:r>
      <w:hyperlink r:id="rId50">
        <w:r>
          <w:rPr>
            <w:rStyle w:val="Hyperlink"/>
          </w:rPr>
          <w:t xml:space="preserve">http://www.nature.com/articles/s41558-018-0121-1</w:t>
        </w:r>
      </w:hyperlink>
    </w:p>
    <w:bookmarkEnd w:id="51"/>
    <w:bookmarkStart w:id="53" w:name="ref-millward-hopkins_providing_2020"/>
    <w:p>
      <w:pPr>
        <w:pStyle w:val="Bibliography"/>
      </w:pPr>
      <w:r>
        <w:t xml:space="preserve">4. Millward-Hopkins J, Steinberger JK, Rao ND, Oswald Y. Providing decent living with minimum energy: A global scenario. Global Environmental Change [Internet]. 2020 Nov [cited 2020 Oct 9];65:102168. Available from:</w:t>
      </w:r>
      <w:r>
        <w:t xml:space="preserve"> </w:t>
      </w:r>
      <w:hyperlink r:id="rId52">
        <w:r>
          <w:rPr>
            <w:rStyle w:val="Hyperlink"/>
          </w:rPr>
          <w:t xml:space="preserve">http://www.sciencedirect.com/science/article/pii/S0959378020307512</w:t>
        </w:r>
      </w:hyperlink>
    </w:p>
    <w:bookmarkEnd w:id="53"/>
    <w:bookmarkStart w:id="55" w:name="ref-rao_energy_2019"/>
    <w:p>
      <w:pPr>
        <w:pStyle w:val="Bibliography"/>
      </w:pPr>
      <w:r>
        <w:t xml:space="preserve">5. Rao ND, Min J, Mastrucci A. Energy requirements for decent living in India, Brazil and South Africa. Nature Energy [Internet]. 2019 Dec [cited 2020 Aug 18];4(12):1025–32. Available from:</w:t>
      </w:r>
      <w:r>
        <w:t xml:space="preserve"> </w:t>
      </w:r>
      <w:hyperlink r:id="rId54">
        <w:r>
          <w:rPr>
            <w:rStyle w:val="Hyperlink"/>
          </w:rPr>
          <w:t xml:space="preserve">https://www.nature.com/articles/s41560-019-0497-9</w:t>
        </w:r>
      </w:hyperlink>
    </w:p>
    <w:bookmarkEnd w:id="55"/>
    <w:bookmarkStart w:id="57"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[Internet]. 2018 [cited 2021 Feb 15];1. Available from:</w:t>
      </w:r>
      <w:r>
        <w:t xml:space="preserve"> </w:t>
      </w:r>
      <w:hyperlink r:id="rId56">
        <w:r>
          <w:rPr>
            <w:rStyle w:val="Hyperlink"/>
          </w:rPr>
          <w:t xml:space="preserve">https://www.cambridge.org/core/journals/global-sustainability/article/equity-and-sustainability-in-the-anthropocene-a-socialecological-systems-perspective-on-their-intertwined-futures/F6DCBE05CA3F6820A10C0DF193BB29E7</w:t>
        </w:r>
      </w:hyperlink>
    </w:p>
    <w:bookmarkEnd w:id="57"/>
    <w:bookmarkStart w:id="59" w:name="ref-eurostat_eurostat_nodate-3"/>
    <w:p>
      <w:pPr>
        <w:pStyle w:val="Bibliography"/>
      </w:pPr>
      <w:r>
        <w:t xml:space="preserve">7. Eurostat. Eurostat - Data Explorer - Energy used for the provision of goods and services (domestic energy footprint) - input-output analysis [Internet]. [cited 2021 Feb 10]. Available from:</w:t>
      </w:r>
      <w:r>
        <w:t xml:space="preserve"> </w:t>
      </w:r>
      <w:hyperlink r:id="rId58">
        <w:r>
          <w:rPr>
            <w:rStyle w:val="Hyperlink"/>
          </w:rPr>
          <w:t xml:space="preserve">https://appsso.eurostat.ec.europa.eu/nui/show.do?dataset=env_ac_pefafp&amp;lang=en</w:t>
        </w:r>
      </w:hyperlink>
    </w:p>
    <w:bookmarkEnd w:id="59"/>
    <w:bookmarkStart w:id="61"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0">
        <w:r>
          <w:rPr>
            <w:rStyle w:val="Hyperlink"/>
          </w:rPr>
          <w:t xml:space="preserve">https://onlinelibrary.wiley.com/doi/abs/10.1111/jiec.12715</w:t>
        </w:r>
      </w:hyperlink>
    </w:p>
    <w:bookmarkEnd w:id="61"/>
    <w:bookmarkStart w:id="63" w:name="ref-eurostat_eurostat_nodate-4"/>
    <w:p>
      <w:pPr>
        <w:pStyle w:val="Bibliography"/>
      </w:pPr>
      <w:r>
        <w:t xml:space="preserve">9. Eurostat. Eurostat - Data Explorer - Emissions of greenhouse gases and air pollutants from final use of CPA08 products - input-output analysis, ESA 2010 [Internet]. [cited 2021 Feb 10]. Available from:</w:t>
      </w:r>
      <w:r>
        <w:t xml:space="preserve"> </w:t>
      </w:r>
      <w:hyperlink r:id="rId62">
        <w:r>
          <w:rPr>
            <w:rStyle w:val="Hyperlink"/>
          </w:rPr>
          <w:t xml:space="preserve">https://appsso.eurostat.ec.europa.eu/nui/show.do?dataset=env_ac_io10&amp;lang=en</w:t>
        </w:r>
      </w:hyperlink>
    </w:p>
    <w:bookmarkEnd w:id="63"/>
    <w:bookmarkStart w:id="65" w:name="ref-ivanova_mapping_2017"/>
    <w:p>
      <w:pPr>
        <w:pStyle w:val="Bibliography"/>
      </w:pPr>
      <w:r>
        <w:t xml:space="preserve">10. Ivanova D, Vita G, Steen-Olsen K, Stadler K, Melo PC, Wood R, et al. Mapping the carbon footprint of EU regions. Environmental Research Letters [Internet]. 2017 [cited 2018 Jun 6];12(5):054013. Available from:</w:t>
      </w:r>
      <w:r>
        <w:t xml:space="preserve"> </w:t>
      </w:r>
      <w:hyperlink r:id="rId64">
        <w:r>
          <w:rPr>
            <w:rStyle w:val="Hyperlink"/>
          </w:rPr>
          <w:t xml:space="preserve">http://stacks.iop.org/1748-9326/12/i=5/a=054013</w:t>
        </w:r>
      </w:hyperlink>
    </w:p>
    <w:bookmarkEnd w:id="65"/>
    <w:bookmarkStart w:id="67" w:name="ref-gore_t._confronting_2020"/>
    <w:p>
      <w:pPr>
        <w:pStyle w:val="Bibliography"/>
      </w:pPr>
      <w:r>
        <w:t xml:space="preserve">11. Gore, T., Alestig, M. Confronting carbon inequality in the European Union [Internet]. 2020 [cited 2021 Jan 21]. Available from:</w:t>
      </w:r>
      <w:r>
        <w:t xml:space="preserve"> </w:t>
      </w:r>
      <w:hyperlink r:id="rId66">
        <w:r>
          <w:rPr>
            <w:rStyle w:val="Hyperlink"/>
          </w:rPr>
          <w:t xml:space="preserve">https://www.oxfam.org/en/research/confronting-carbon-inequality-european-union</w:t>
        </w:r>
      </w:hyperlink>
    </w:p>
    <w:bookmarkEnd w:id="67"/>
    <w:bookmarkStart w:id="69" w:name="ref-oswald_large_2020"/>
    <w:p>
      <w:pPr>
        <w:pStyle w:val="Bibliography"/>
      </w:pPr>
      <w:r>
        <w:t xml:space="preserve">12. Oswald Y, Owen A, Steinberger JK. Large inequality in international and intranational energy footprints between income groups and across consumption categories. Nature Energy [Internet]. 2020 Mar [cited 2020 Apr 1];5(3):231–9. Available from:</w:t>
      </w:r>
      <w:r>
        <w:t xml:space="preserve"> </w:t>
      </w:r>
      <w:hyperlink r:id="rId68">
        <w:r>
          <w:rPr>
            <w:rStyle w:val="Hyperlink"/>
          </w:rPr>
          <w:t xml:space="preserve">https://www.nature.com/articles/s41560-020-0579-8</w:t>
        </w:r>
      </w:hyperlink>
    </w:p>
    <w:bookmarkEnd w:id="69"/>
    <w:bookmarkStart w:id="71" w:name="ref-ivanova_unequal_2020"/>
    <w:p>
      <w:pPr>
        <w:pStyle w:val="Bibliography"/>
      </w:pPr>
      <w:r>
        <w:t xml:space="preserve">13. Ivanova D, Wood R. The unequal distribution of household carbon footprints in Europe and its link to sustainability. Global Sustainability [Internet]. 2020 [cited 2020 Jul 7];3. Available from:</w:t>
      </w:r>
      <w:r>
        <w:t xml:space="preserve"> </w:t>
      </w:r>
      <w:hyperlink r:id="rId70">
        <w:r>
          <w:rPr>
            <w:rStyle w:val="Hyperlink"/>
          </w:rPr>
          <w:t xml:space="preserve">https://www.cambridge.org/core/journals/global-sustainability/article/unequal-distribution-of-household-carbon-footprints-in-europe-and-its-link-to-sustainability/F1ED4F705AF1C6C1FCAD477398353DC2</w:t>
        </w:r>
      </w:hyperlink>
    </w:p>
    <w:bookmarkEnd w:id="71"/>
    <w:bookmarkStart w:id="73" w:name="ref-akenji_1.5-degree_2019"/>
    <w:p>
      <w:pPr>
        <w:pStyle w:val="Bibliography"/>
      </w:pPr>
      <w:r>
        <w:t xml:space="preserve">14.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72">
        <w:r>
          <w:rPr>
            <w:rStyle w:val="Hyperlink"/>
          </w:rPr>
          <w:t xml:space="preserve">https://www.iges.or.jp/en/pub/15-degrees-lifestyles-2019/en</w:t>
        </w:r>
      </w:hyperlink>
    </w:p>
    <w:bookmarkEnd w:id="73"/>
    <w:bookmarkStart w:id="75" w:name="X4d7f8dadc9cc10bd19aa1d121dc1c6e986790bb"/>
    <w:p>
      <w:pPr>
        <w:pStyle w:val="Bibliography"/>
      </w:pPr>
      <w:r>
        <w:t xml:space="preserve">15. European Commission. Communication on The European Green Deal [Internet]. European Commission - European Commission. 2019 [cited 2020 Jul 6]. Available from:</w:t>
      </w:r>
      <w:r>
        <w:t xml:space="preserve"> </w:t>
      </w:r>
      <w:hyperlink r:id="rId74">
        <w:r>
          <w:rPr>
            <w:rStyle w:val="Hyperlink"/>
          </w:rPr>
          <w:t xml:space="preserve">https://ec.europa.eu/info/publications/communication-european-green-deal_en</w:t>
        </w:r>
      </w:hyperlink>
    </w:p>
    <w:bookmarkEnd w:id="75"/>
    <w:bookmarkStart w:id="77" w:name="ref-eurostat_database_nodate"/>
    <w:p>
      <w:pPr>
        <w:pStyle w:val="Bibliography"/>
      </w:pPr>
      <w:r>
        <w:t xml:space="preserve">16. Eurostat. Database - Household budget surveys - Eurostat [Internet]. [cited 2021 Jan 20]. Available from:</w:t>
      </w:r>
      <w:r>
        <w:t xml:space="preserve"> </w:t>
      </w:r>
      <w:hyperlink r:id="rId76">
        <w:r>
          <w:rPr>
            <w:rStyle w:val="Hyperlink"/>
          </w:rPr>
          <w:t xml:space="preserve">https://ec.europa.eu/eurostat/web/household-budget-surveys/database</w:t>
        </w:r>
      </w:hyperlink>
    </w:p>
    <w:bookmarkEnd w:id="77"/>
    <w:bookmarkStart w:id="79" w:name="ref-eurostat_description_2016"/>
    <w:p>
      <w:pPr>
        <w:pStyle w:val="Bibliography"/>
      </w:pPr>
      <w:r>
        <w:t xml:space="preserve">17. Eurostat. Description of the data transmission for the Household Budget Survey (HBS) for the Reference Year 2015 Version: 3 [Internet]. 2016. Available from:</w:t>
      </w:r>
      <w:r>
        <w:t xml:space="preserve"> </w:t>
      </w:r>
      <w:hyperlink r:id="rId78">
        <w:r>
          <w:rPr>
            <w:rStyle w:val="Hyperlink"/>
          </w:rPr>
          <w:t xml:space="preserve">https://ec.europa.eu/eurostat/documents/54431/1966394/HBS2015_Transmission_DOC_V3.2018_05_22.pdf</w:t>
        </w:r>
      </w:hyperlink>
    </w:p>
    <w:bookmarkEnd w:id="79"/>
    <w:bookmarkStart w:id="81" w:name="ref-gea_gea_nodate"/>
    <w:p>
      <w:pPr>
        <w:pStyle w:val="Bibliography"/>
      </w:pPr>
      <w:r>
        <w:t xml:space="preserve">18. GEA. GEA Scenario database (public) [Internet]. [cited 2021 Jan 20]. Available from:</w:t>
      </w:r>
      <w:r>
        <w:t xml:space="preserve"> </w:t>
      </w:r>
      <w:hyperlink r:id="rId80">
        <w:r>
          <w:rPr>
            <w:rStyle w:val="Hyperlink"/>
          </w:rPr>
          <w:t xml:space="preserve">https://www.iiasa.ac.at/web-apps/ene/geadb/dsd?Action=htmlpage&amp;page=about</w:t>
        </w:r>
      </w:hyperlink>
    </w:p>
    <w:bookmarkEnd w:id="81"/>
    <w:bookmarkStart w:id="83" w:name="ref-hubacek_global_2017"/>
    <w:p>
      <w:pPr>
        <w:pStyle w:val="Bibliography"/>
      </w:pPr>
      <w:r>
        <w:t xml:space="preserve">19. Hubacek K, Baiocchi G, Feng K, Muñoz Castillo R, Sun L, Xue J. Global carbon inequality. Energy, Ecology and Environment [Internet]. 2017 Dec [cited 2019 Jul 16];2(6):361–9. Available from:</w:t>
      </w:r>
      <w:r>
        <w:t xml:space="preserve"> </w:t>
      </w:r>
      <w:hyperlink r:id="rId82">
        <w:r>
          <w:rPr>
            <w:rStyle w:val="Hyperlink"/>
          </w:rPr>
          <w:t xml:space="preserve">https://doi.org/10.1007/s40974-017-0072-9</w:t>
        </w:r>
      </w:hyperlink>
    </w:p>
    <w:bookmarkEnd w:id="83"/>
    <w:bookmarkStart w:id="85" w:name="ref-berthe_mechanisms_2015"/>
    <w:p>
      <w:pPr>
        <w:pStyle w:val="Bibliography"/>
      </w:pPr>
      <w:r>
        <w:t xml:space="preserve">20. Berthe A, Elie L. Mechanisms explaining the impact of economic inequality on environmental deterioration. Ecological Economics [Internet]. 2015 [cited 2019 Dec 18];116(Complete):191–200. Available from:</w:t>
      </w:r>
      <w:r>
        <w:t xml:space="preserve"> </w:t>
      </w:r>
      <w:hyperlink r:id="rId84">
        <w:r>
          <w:rPr>
            <w:rStyle w:val="Hyperlink"/>
          </w:rPr>
          <w:t xml:space="preserve">http://journals.scholarsportal.info/detailsundefined</w:t>
        </w:r>
      </w:hyperlink>
    </w:p>
    <w:bookmarkEnd w:id="85"/>
    <w:bookmarkStart w:id="87" w:name="ref-scruggs_political_1998"/>
    <w:p>
      <w:pPr>
        <w:pStyle w:val="Bibliography"/>
      </w:pPr>
      <w:r>
        <w:t xml:space="preserve">21. Scruggs L. Political and economic inequality and the environment. Ecological Economics [Internet]. 1998 [cited 2020 Jan 15];26(3):259–75. Available from:</w:t>
      </w:r>
      <w:r>
        <w:t xml:space="preserve"> </w:t>
      </w:r>
      <w:hyperlink r:id="rId86">
        <w:r>
          <w:rPr>
            <w:rStyle w:val="Hyperlink"/>
          </w:rPr>
          <w:t xml:space="preserve">https://econpapers.repec.org/article/eeeecolec/v_3a26_3ay_3a1998_3ai_3a3_3ap_3a259-275.htm</w:t>
        </w:r>
      </w:hyperlink>
    </w:p>
    <w:bookmarkEnd w:id="87"/>
    <w:bookmarkStart w:id="89" w:name="ref-weber_quantifying_2008"/>
    <w:p>
      <w:pPr>
        <w:pStyle w:val="Bibliography"/>
      </w:pPr>
      <w:r>
        <w:t xml:space="preserve">22. Weber CL, Matthews HS. Quantifying the global and distributional aspects of American household carbon footprint. Ecological Economics [Internet]. 2008 Jun [cited 2013 Sep 16];66(2–3):379–91. Available from:</w:t>
      </w:r>
      <w:r>
        <w:t xml:space="preserve"> </w:t>
      </w:r>
      <w:hyperlink r:id="rId88">
        <w:r>
          <w:rPr>
            <w:rStyle w:val="Hyperlink"/>
          </w:rPr>
          <w:t xml:space="preserve">http://www.sciencedirect.com/science/article/pii/S0921800907004934</w:t>
        </w:r>
      </w:hyperlink>
    </w:p>
    <w:bookmarkEnd w:id="89"/>
    <w:bookmarkStart w:id="91" w:name="ref-sommer_carbon_2017"/>
    <w:p>
      <w:pPr>
        <w:pStyle w:val="Bibliography"/>
      </w:pPr>
      <w:r>
        <w:t xml:space="preserve">23. Sommer M, Kratena K. The Carbon Footprint of European Households and Income Distribution. Ecological Economics [Internet]. 2017 [cited 2020 Aug 12];136(C):62–72. Available from:</w:t>
      </w:r>
      <w:r>
        <w:t xml:space="preserve"> </w:t>
      </w:r>
      <w:hyperlink r:id="rId90">
        <w:r>
          <w:rPr>
            <w:rStyle w:val="Hyperlink"/>
          </w:rPr>
          <w:t xml:space="preserve">https://econpapers.repec.org/article/eeeecolec/v_3a136_3ay_3a2017_3ai_3ac_3ap_3a62-72.htm</w:t>
        </w:r>
      </w:hyperlink>
    </w:p>
    <w:bookmarkEnd w:id="91"/>
    <w:bookmarkStart w:id="93" w:name="ref-bianco_understanding_2019"/>
    <w:p>
      <w:pPr>
        <w:pStyle w:val="Bibliography"/>
      </w:pPr>
      <w:r>
        <w:t xml:space="preserve">24. Bianco V, Cascetta F, Marino A, Nardini S. Understanding energy consumption and carbon emissions in Europe: A focus on inequality issues. Energy [Internet]. 2019 Mar [cited 2020 Sep 28];170:120–30. Available from:</w:t>
      </w:r>
      <w:r>
        <w:t xml:space="preserve"> </w:t>
      </w:r>
      <w:hyperlink r:id="rId92">
        <w:r>
          <w:rPr>
            <w:rStyle w:val="Hyperlink"/>
          </w:rPr>
          <w:t xml:space="preserve">http://www.sciencedirect.com/science/article/pii/S0360544218324927</w:t>
        </w:r>
      </w:hyperlink>
    </w:p>
    <w:bookmarkEnd w:id="93"/>
    <w:bookmarkStart w:id="95" w:name="ref-kerkhof_determinants_2009"/>
    <w:p>
      <w:pPr>
        <w:pStyle w:val="Bibliography"/>
      </w:pPr>
      <w:r>
        <w:t xml:space="preserve">25. Kerkhof AC, Benders RMJ, Moll HC. Determinants of variation in household CO2 emissions between and within countries. Energy Policy [Internet]. 2009 [cited 2020 Jul 13];37(4):1509–17. Available from:</w:t>
      </w:r>
      <w:r>
        <w:t xml:space="preserve"> </w:t>
      </w:r>
      <w:hyperlink r:id="rId94">
        <w:r>
          <w:rPr>
            <w:rStyle w:val="Hyperlink"/>
          </w:rPr>
          <w:t xml:space="preserve">https://econpapers.repec.org/article/eeeenepol/v_3a37_3ay_3a2009_3ai_3a4_3ap_3a1509-1517.htm</w:t>
        </w:r>
      </w:hyperlink>
    </w:p>
    <w:bookmarkEnd w:id="95"/>
    <w:bookmarkStart w:id="97" w:name="ref-eurostat_eurostat_nodate-2"/>
    <w:p>
      <w:pPr>
        <w:pStyle w:val="Bibliography"/>
      </w:pPr>
      <w:r>
        <w:t xml:space="preserve">26. Eurostat. Eurostat - Data Explorer - Production of electricity and derived heat by type of fuel [Internet]. [cited 2021 Jan 22]. Available from:</w:t>
      </w:r>
      <w:r>
        <w:t xml:space="preserve"> </w:t>
      </w:r>
      <w:hyperlink r:id="rId96">
        <w:r>
          <w:rPr>
            <w:rStyle w:val="Hyperlink"/>
          </w:rPr>
          <w:t xml:space="preserve">https://appsso.eurostat.ec.europa.eu/nui/submitViewTableAction.do</w:t>
        </w:r>
      </w:hyperlink>
    </w:p>
    <w:bookmarkEnd w:id="97"/>
    <w:bookmarkStart w:id="99" w:name="ref-werner_international_2017"/>
    <w:p>
      <w:pPr>
        <w:pStyle w:val="Bibliography"/>
      </w:pPr>
      <w:r>
        <w:t xml:space="preserve">27. Werner S. International review of district heating and cooling. Energy [Internet]. 2017 Oct [cited 2020 Aug 11];137:617–31. Available from:</w:t>
      </w:r>
      <w:r>
        <w:t xml:space="preserve"> </w:t>
      </w:r>
      <w:hyperlink r:id="rId98">
        <w:r>
          <w:rPr>
            <w:rStyle w:val="Hyperlink"/>
          </w:rPr>
          <w:t xml:space="preserve">http://www.sciencedirect.com/science/article/pii/S036054421730614X</w:t>
        </w:r>
      </w:hyperlink>
    </w:p>
    <w:bookmarkEnd w:id="99"/>
    <w:bookmarkStart w:id="101" w:name="ref-sovacool_reviewing_2017"/>
    <w:p>
      <w:pPr>
        <w:pStyle w:val="Bibliography"/>
      </w:pPr>
      <w:r>
        <w:t xml:space="preserve">28. Sovacool BK. Reviewing, Reforming, and Rethinking Global Energy Subsidies: Towards a Political Economy Research Agenda. Ecological Economics [Internet]. 2017 May [cited 2021 Feb 12];135:150–63. Available from:</w:t>
      </w:r>
      <w:r>
        <w:t xml:space="preserve"> </w:t>
      </w:r>
      <w:hyperlink r:id="rId100">
        <w:r>
          <w:rPr>
            <w:rStyle w:val="Hyperlink"/>
          </w:rPr>
          <w:t xml:space="preserve">https://www.sciencedirect.com/science/article/pii/S0921800916303494</w:t>
        </w:r>
      </w:hyperlink>
    </w:p>
    <w:bookmarkEnd w:id="101"/>
    <w:bookmarkStart w:id="103" w:name="ref-ivanova_quantifying_2020"/>
    <w:p>
      <w:pPr>
        <w:pStyle w:val="Bibliography"/>
      </w:pPr>
      <w:r>
        <w:t xml:space="preserve">29. Ivanova D, Barrett J, Wiedenhofer D, Macura B, Callaghan MW, Creutzig F. Quantifying the potential for climate change mitigation of consumption options. Environmental Research Letters [Internet]. 2020 [cited 2020 Jun 30]; Available from:</w:t>
      </w:r>
      <w:r>
        <w:t xml:space="preserve"> </w:t>
      </w:r>
      <w:hyperlink r:id="rId102">
        <w:r>
          <w:rPr>
            <w:rStyle w:val="Hyperlink"/>
          </w:rPr>
          <w:t xml:space="preserve">http://iopscience.iop.org/10.1088/1748-9326/ab8589</w:t>
        </w:r>
      </w:hyperlink>
    </w:p>
    <w:bookmarkEnd w:id="103"/>
    <w:bookmarkStart w:id="105" w:name="ref-eurostat_living_nodate"/>
    <w:p>
      <w:pPr>
        <w:pStyle w:val="Bibliography"/>
      </w:pPr>
      <w:r>
        <w:t xml:space="preserve">30. Eurostat. Living conditions in Europe - material deprivation and economic strain - Statistics Explained [Internet]. [cited 2021 Jan 23]. Available from:</w:t>
      </w:r>
      <w:r>
        <w:t xml:space="preserve"> </w:t>
      </w:r>
      <w:hyperlink r:id="rId104">
        <w:r>
          <w:rPr>
            <w:rStyle w:val="Hyperlink"/>
          </w:rPr>
          <w:t xml:space="preserve">https://ec.europa.eu/eurostat/statistics-explained/index.php?title=Living_conditions_in_Europe_-_material_deprivation_and_economic_strain</w:t>
        </w:r>
      </w:hyperlink>
    </w:p>
    <w:bookmarkEnd w:id="105"/>
    <w:bookmarkStart w:id="107" w:name="ref-european_commission_european_2020"/>
    <w:p>
      <w:pPr>
        <w:pStyle w:val="Bibliography"/>
      </w:pPr>
      <w:r>
        <w:t xml:space="preserve">31. European Commission. The European Green Deal Investment Plan and JTM explained [Internet]. European Commission - European Commission. 2020 [cited 2020 Aug 7]. Available from:</w:t>
      </w:r>
      <w:r>
        <w:t xml:space="preserve"> </w:t>
      </w:r>
      <w:hyperlink r:id="rId106">
        <w:r>
          <w:rPr>
            <w:rStyle w:val="Hyperlink"/>
          </w:rPr>
          <w:t xml:space="preserve">https://ec.europa.eu/commission/presscorner/detail/en/qanda_20_24</w:t>
        </w:r>
      </w:hyperlink>
    </w:p>
    <w:bookmarkEnd w:id="107"/>
    <w:bookmarkStart w:id="109" w:name="ref-rao_improving_2017"/>
    <w:p>
      <w:pPr>
        <w:pStyle w:val="Bibliography"/>
      </w:pPr>
      <w:r>
        <w:t xml:space="preserve">32. Rao ND, Ruijven BJ van, Riahi K, Bosetti V. Improving poverty and inequality modelling in climate research. Nature Climate Change [Internet]. 2017 Dec [cited 2020 Oct 11];7(12):857–62. Available from:</w:t>
      </w:r>
      <w:r>
        <w:t xml:space="preserve"> </w:t>
      </w:r>
      <w:hyperlink r:id="rId108">
        <w:r>
          <w:rPr>
            <w:rStyle w:val="Hyperlink"/>
          </w:rPr>
          <w:t xml:space="preserve">https://www.nature.com/articles/s41558-017-0004-x</w:t>
        </w:r>
      </w:hyperlink>
    </w:p>
    <w:bookmarkEnd w:id="109"/>
    <w:bookmarkStart w:id="111" w:name="ref-alfredsson_why_2018"/>
    <w:p>
      <w:pPr>
        <w:pStyle w:val="Bibliography"/>
      </w:pPr>
      <w:r>
        <w:t xml:space="preserve">33.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10">
        <w:r>
          <w:rPr>
            <w:rStyle w:val="Hyperlink"/>
          </w:rPr>
          <w:t xml:space="preserve">https://doi.org/10.1080/15487733.2018.1458815</w:t>
        </w:r>
      </w:hyperlink>
    </w:p>
    <w:bookmarkEnd w:id="111"/>
    <w:bookmarkStart w:id="113"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12">
        <w:r>
          <w:rPr>
            <w:rStyle w:val="Hyperlink"/>
          </w:rPr>
          <w:t xml:space="preserve">https://linkinghub.elsevier.com/retrieve/pii/S0301421518305810</w:t>
        </w:r>
      </w:hyperlink>
    </w:p>
    <w:bookmarkEnd w:id="113"/>
    <w:bookmarkStart w:id="114" w:name="ref-piketty_carbon_2015"/>
    <w:p>
      <w:pPr>
        <w:pStyle w:val="Bibliography"/>
      </w:pPr>
      <w:r>
        <w:t xml:space="preserve">35. Piketty T, Chancel L. Carbon and inequality: From Kyoto to Paris. Paris Sch Econ (www parisschoolofeconomics eu/en/news/carbon-and-inequality-from-kyoto-to-parischancel-piketty/). 2015;</w:t>
      </w:r>
      <w:r>
        <w:t xml:space="preserve"> </w:t>
      </w:r>
    </w:p>
    <w:bookmarkEnd w:id="114"/>
    <w:bookmarkStart w:id="116" w:name="ref-gough_recomposing_2017"/>
    <w:p>
      <w:pPr>
        <w:pStyle w:val="Bibliography"/>
      </w:pPr>
      <w:r>
        <w:t xml:space="preserve">36.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5">
        <w:r>
          <w:rPr>
            <w:rStyle w:val="Hyperlink"/>
          </w:rPr>
          <w:t xml:space="preserve">https://royalsocietypublishing.org/doi/full/10.1098/rsta.2016.0379</w:t>
        </w:r>
      </w:hyperlink>
    </w:p>
    <w:bookmarkEnd w:id="116"/>
    <w:bookmarkStart w:id="118" w:name="ref-haberl_systematic_2020"/>
    <w:p>
      <w:pPr>
        <w:pStyle w:val="Bibliography"/>
      </w:pPr>
      <w:r>
        <w:t xml:space="preserve">37. Haberl H, Wiedenhofer D, Virág D, Kalt G, Plank B, Brockway P, et al. A systematic review of the evidence on decoupling of GDP, resource use and GHG emissions, part II: Synthesizing the insights. Environmental Research Letters [Internet]. 2020 [cited 2020 Apr 9]; Available from:</w:t>
      </w:r>
      <w:r>
        <w:t xml:space="preserve"> </w:t>
      </w:r>
      <w:hyperlink r:id="rId117">
        <w:r>
          <w:rPr>
            <w:rStyle w:val="Hyperlink"/>
          </w:rPr>
          <w:t xml:space="preserve">http://iopscience.iop.org/10.1088/1748-9326/ab842a</w:t>
        </w:r>
      </w:hyperlink>
    </w:p>
    <w:bookmarkEnd w:id="118"/>
    <w:bookmarkStart w:id="120" w:name="ref-hubacek_poverty_2017"/>
    <w:p>
      <w:pPr>
        <w:pStyle w:val="Bibliography"/>
      </w:pPr>
      <w:r>
        <w:t xml:space="preserve">38. Hubacek K, Baiocchi G, Feng K, Patwardhan A. Poverty eradication in a carbon constrained world. Nature Communications [Internet]. 2017 Oct [cited 2020 Apr 23];8(1):1–9. Available from:</w:t>
      </w:r>
      <w:r>
        <w:t xml:space="preserve"> </w:t>
      </w:r>
      <w:hyperlink r:id="rId119">
        <w:r>
          <w:rPr>
            <w:rStyle w:val="Hyperlink"/>
          </w:rPr>
          <w:t xml:space="preserve">https://www.nature.com/articles/s41467-017-00919-4</w:t>
        </w:r>
      </w:hyperlink>
    </w:p>
    <w:bookmarkEnd w:id="120"/>
    <w:bookmarkStart w:id="122" w:name="ref-woodward_incrementum_2015"/>
    <w:p>
      <w:pPr>
        <w:pStyle w:val="Bibliography"/>
      </w:pPr>
      <w:r>
        <w:t xml:space="preserve">39. Woodward D. Incrementum ad Absurdum: Global Growth, Inequality and Poverty Eradication in a Carbon-Constrained World. World Social and Economic Review [Internet]. 2015 Feb [cited 2019 Mar 5];2015(No 4, 2015):43. Available from:</w:t>
      </w:r>
      <w:r>
        <w:t xml:space="preserve"> </w:t>
      </w:r>
      <w:hyperlink r:id="rId121">
        <w:r>
          <w:rPr>
            <w:rStyle w:val="Hyperlink"/>
          </w:rPr>
          <w:t xml:space="preserve">http://wer.worldeconomicsassociation.org/papers/incrementum-ad-absurdum-global-growth-inequality-and-poverty-eradication-in-a-carbon-constrained-world/</w:t>
        </w:r>
      </w:hyperlink>
    </w:p>
    <w:bookmarkEnd w:id="122"/>
    <w:bookmarkStart w:id="124" w:name="ref-sovacool_dispossessed_2021"/>
    <w:p>
      <w:pPr>
        <w:pStyle w:val="Bibliography"/>
      </w:pPr>
      <w:r>
        <w:t xml:space="preserve">40. Sovacool BK, Turnheim B, Hook A, Brock A, Martiskainen M. Dispossessed by decarbonisation: Reducing vulnerability, injustice, and inequality in the lived experience of low-carbon pathways. World Development [Internet]. 2021 Jan [cited 2020 Sep 21];137:105116. Available from:</w:t>
      </w:r>
      <w:r>
        <w:t xml:space="preserve"> </w:t>
      </w:r>
      <w:hyperlink r:id="rId123">
        <w:r>
          <w:rPr>
            <w:rStyle w:val="Hyperlink"/>
          </w:rPr>
          <w:t xml:space="preserve">http://www.sciencedirect.com/science/article/pii/S0305750X20302436</w:t>
        </w:r>
      </w:hyperlink>
    </w:p>
    <w:bookmarkEnd w:id="124"/>
    <w:bookmarkStart w:id="126" w:name="ref-kartha_carbon_2020"/>
    <w:p>
      <w:pPr>
        <w:pStyle w:val="Bibliography"/>
      </w:pPr>
      <w:r>
        <w:t xml:space="preserve">41. Kartha S, Kemp-Benedict E, Ghosh E, Nazareth A. The Carbon Inequality Era. 2020 Sep [cited 2020 Sep 28]; Available from:</w:t>
      </w:r>
      <w:r>
        <w:t xml:space="preserve"> </w:t>
      </w:r>
      <w:hyperlink r:id="rId125">
        <w:r>
          <w:rPr>
            <w:rStyle w:val="Hyperlink"/>
          </w:rPr>
          <w:t xml:space="preserve">https://www.sei.org/publications/the-carbon-inequality-era/</w:t>
        </w:r>
      </w:hyperlink>
    </w:p>
    <w:bookmarkEnd w:id="126"/>
    <w:bookmarkEnd w:id="127"/>
    <w:p>
      <w:r>
        <w:br w:type="page"/>
      </w:r>
    </w:p>
    <w:p>
      <w:pPr>
        <w:pStyle w:val="Heading3"/>
      </w:pPr>
      <w:bookmarkStart w:id="128" w:name="colophon"/>
      <w:r>
        <w:t xml:space="preserve">Colophon</w:t>
      </w:r>
      <w:bookmarkEnd w:id="128"/>
    </w:p>
    <w:p>
      <w:pPr>
        <w:pStyle w:val="FirstParagraph"/>
      </w:pPr>
      <w:r>
        <w:t xml:space="preserve">This report was generated on 2021-02-17 09:49:06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2021-02-17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[08dd1cc] 2021-02-16: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117"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1"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23"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5"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19"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25"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117" Target="http://iopscience.iop.org/10.1088/1748-9326/ab842a" TargetMode="External" /><Relationship Type="http://schemas.openxmlformats.org/officeDocument/2006/relationships/hyperlink" Id="rId102" Target="http://iopscience.iop.org/10.1088/1748-9326/ab8589" TargetMode="External" /><Relationship Type="http://schemas.openxmlformats.org/officeDocument/2006/relationships/hyperlink" Id="rId84" Target="http://journals.scholarsportal.info/detailsundefined" TargetMode="External" /><Relationship Type="http://schemas.openxmlformats.org/officeDocument/2006/relationships/hyperlink" Id="rId64" Target="http://stacks.iop.org/1748-9326/12/i=5/a=054013" TargetMode="External" /><Relationship Type="http://schemas.openxmlformats.org/officeDocument/2006/relationships/hyperlink" Id="rId121" Target="http://wer.worldeconomicsassociation.org/papers/incrementum-ad-absurdum-global-growth-inequality-and-poverty-eradication-in-a-carbon-constrained-world/" TargetMode="External" /><Relationship Type="http://schemas.openxmlformats.org/officeDocument/2006/relationships/hyperlink" Id="rId50" Target="http://www.nature.com/articles/s41558-018-0121-1" TargetMode="External" /><Relationship Type="http://schemas.openxmlformats.org/officeDocument/2006/relationships/hyperlink" Id="rId123" Target="http://www.sciencedirect.com/science/article/pii/S0305750X20302436" TargetMode="External" /><Relationship Type="http://schemas.openxmlformats.org/officeDocument/2006/relationships/hyperlink" Id="rId98" Target="http://www.sciencedirect.com/science/article/pii/S036054421730614X" TargetMode="External" /><Relationship Type="http://schemas.openxmlformats.org/officeDocument/2006/relationships/hyperlink" Id="rId92" Target="http://www.sciencedirect.com/science/article/pii/S0360544218324927" TargetMode="External" /><Relationship Type="http://schemas.openxmlformats.org/officeDocument/2006/relationships/hyperlink" Id="rId88" Target="http://www.sciencedirect.com/science/article/pii/S0921800907004934" TargetMode="External" /><Relationship Type="http://schemas.openxmlformats.org/officeDocument/2006/relationships/hyperlink" Id="rId46" Target="http://www.sciencedirect.com/science/article/pii/S0959378016300681" TargetMode="External" /><Relationship Type="http://schemas.openxmlformats.org/officeDocument/2006/relationships/hyperlink" Id="rId52" Target="http://www.sciencedirect.com/science/article/pii/S0959378020307512" TargetMode="External" /><Relationship Type="http://schemas.openxmlformats.org/officeDocument/2006/relationships/hyperlink" Id="rId62" Target="https://appsso.eurostat.ec.europa.eu/nui/show.do?dataset=env_ac_io10&amp;lang=en" TargetMode="External" /><Relationship Type="http://schemas.openxmlformats.org/officeDocument/2006/relationships/hyperlink" Id="rId58" Target="https://appsso.eurostat.ec.europa.eu/nui/show.do?dataset=env_ac_pefafp&amp;lang=en" TargetMode="External" /><Relationship Type="http://schemas.openxmlformats.org/officeDocument/2006/relationships/hyperlink" Id="rId96" Target="https://appsso.eurostat.ec.europa.eu/nui/submitViewTableAction.do" TargetMode="External" /><Relationship Type="http://schemas.openxmlformats.org/officeDocument/2006/relationships/hyperlink" Id="rId82" Target="https://doi.org/10.1007/s40974-017-0072-9" TargetMode="External" /><Relationship Type="http://schemas.openxmlformats.org/officeDocument/2006/relationships/hyperlink" Id="rId110" Target="https://doi.org/10.1080/15487733.2018.1458815" TargetMode="External" /><Relationship Type="http://schemas.openxmlformats.org/officeDocument/2006/relationships/hyperlink" Id="rId106" Target="https://ec.europa.eu/commission/presscorner/detail/en/qanda_20_24" TargetMode="External" /><Relationship Type="http://schemas.openxmlformats.org/officeDocument/2006/relationships/hyperlink" Id="rId78" Target="https://ec.europa.eu/eurostat/documents/54431/1966394/HBS2015_Transmission_DOC_V3.2018_05_22.pdf" TargetMode="External" /><Relationship Type="http://schemas.openxmlformats.org/officeDocument/2006/relationships/hyperlink" Id="rId104" Target="https://ec.europa.eu/eurostat/statistics-explained/index.php?title=Living_conditions_in_Europe_-_material_deprivation_and_economic_strain" TargetMode="External" /><Relationship Type="http://schemas.openxmlformats.org/officeDocument/2006/relationships/hyperlink" Id="rId76" Target="https://ec.europa.eu/eurostat/web/household-budget-surveys/database" TargetMode="External" /><Relationship Type="http://schemas.openxmlformats.org/officeDocument/2006/relationships/hyperlink" Id="rId74" Target="https://ec.europa.eu/info/publications/communication-european-green-deal_en" TargetMode="External" /><Relationship Type="http://schemas.openxmlformats.org/officeDocument/2006/relationships/hyperlink" Id="rId90" Target="https://econpapers.repec.org/article/eeeecolec/v_3a136_3ay_3a2017_3ai_3ac_3ap_3a62-72.htm" TargetMode="External" /><Relationship Type="http://schemas.openxmlformats.org/officeDocument/2006/relationships/hyperlink" Id="rId86" Target="https://econpapers.repec.org/article/eeeecolec/v_3a26_3ay_3a1998_3ai_3a3_3ap_3a259-275.htm" TargetMode="External" /><Relationship Type="http://schemas.openxmlformats.org/officeDocument/2006/relationships/hyperlink" Id="rId94" Target="https://econpapers.repec.org/article/eeeenepol/v_3a37_3ay_3a2009_3ai_3a4_3ap_3a1509-1517.htm" TargetMode="External" /><Relationship Type="http://schemas.openxmlformats.org/officeDocument/2006/relationships/hyperlink" Id="rId112" Target="https://linkinghub.elsevier.com/retrieve/pii/S0301421518305810" TargetMode="External" /><Relationship Type="http://schemas.openxmlformats.org/officeDocument/2006/relationships/hyperlink" Id="rId60" Target="https://onlinelibrary.wiley.com/doi/abs/10.1111/jiec.12715" TargetMode="External" /><Relationship Type="http://schemas.openxmlformats.org/officeDocument/2006/relationships/hyperlink" Id="rId48" Target="https://rdcu.be/SOJx" TargetMode="External" /><Relationship Type="http://schemas.openxmlformats.org/officeDocument/2006/relationships/hyperlink" Id="rId115" Target="https://royalsocietypublishing.org/doi/full/10.1098/rsta.2016.0379" TargetMode="External" /><Relationship Type="http://schemas.openxmlformats.org/officeDocument/2006/relationships/hyperlink" Id="rId56" Target="https://www.cambridge.org/core/journals/global-sustainability/article/equity-and-sustainability-in-the-anthropocene-a-socialecological-systems-perspective-on-their-intertwined-futures/F6DCBE05CA3F6820A10C0DF193BB29E7" TargetMode="External" /><Relationship Type="http://schemas.openxmlformats.org/officeDocument/2006/relationships/hyperlink" Id="rId7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72" Target="https://www.iges.or.jp/en/pub/15-degrees-lifestyles-2019/en" TargetMode="External" /><Relationship Type="http://schemas.openxmlformats.org/officeDocument/2006/relationships/hyperlink" Id="rId80" Target="https://www.iiasa.ac.at/web-apps/ene/geadb/dsd?Action=htmlpage&amp;page=about" TargetMode="External" /><Relationship Type="http://schemas.openxmlformats.org/officeDocument/2006/relationships/hyperlink" Id="rId119" Target="https://www.nature.com/articles/s41467-017-00919-4" TargetMode="External" /><Relationship Type="http://schemas.openxmlformats.org/officeDocument/2006/relationships/hyperlink" Id="rId108" Target="https://www.nature.com/articles/s41558-017-0004-x" TargetMode="External" /><Relationship Type="http://schemas.openxmlformats.org/officeDocument/2006/relationships/hyperlink" Id="rId54" Target="https://www.nature.com/articles/s41560-019-0497-9" TargetMode="External" /><Relationship Type="http://schemas.openxmlformats.org/officeDocument/2006/relationships/hyperlink" Id="rId68" Target="https://www.nature.com/articles/s41560-020-0579-8" TargetMode="External" /><Relationship Type="http://schemas.openxmlformats.org/officeDocument/2006/relationships/hyperlink" Id="rId66" Target="https://www.oxfam.org/en/research/confronting-carbon-inequality-european-union" TargetMode="External" /><Relationship Type="http://schemas.openxmlformats.org/officeDocument/2006/relationships/hyperlink" Id="rId100" Target="https://www.sciencedirect.com/science/article/pii/S0921800916303494" TargetMode="External" /><Relationship Type="http://schemas.openxmlformats.org/officeDocument/2006/relationships/hyperlink" Id="rId125"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2021-02-17T08:49:09Z</dcterms:created>
  <dcterms:modified xsi:type="dcterms:W3CDTF">2021-02-17T08:49:09Z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