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minimal energy requirements for a decent living and maximum supply of decarbonised energy to achieve the 1.5°C target in 2050. We constructed energy and carbon footprints for harmonized European expenditure deciles in 2015 by combining data from national Household Budget Surveys (HBS) provided by EUROSTAT, with the Environmentally-Extended Multi-Regional Input-Output (EE-MRIO) model EXIOBASE and aggregating the ranked national expenditure quintiles European deciles.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by CCS deployment plus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combining the goals of providing enough energy for a decent living and achieving the Paris agreement poses an immense and widely underestimated challenge to which the current organization of the euro zone offers little monetary or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(2)</w:t>
      </w:r>
      <w:r>
        <w:t xml:space="preserve">, by contrast, there are lower limits to how much energy is minimally required for a decent standard of living</w:t>
      </w:r>
      <w:r>
        <w:t xml:space="preserve"> </w:t>
      </w:r>
      <w:r>
        <w:t xml:space="preserve">(1)</w:t>
      </w:r>
      <w:r>
        <w:t xml:space="preserve">, depending on different assumptions about infrastructures and service provision</w:t>
      </w:r>
      <w:r>
        <w:t xml:space="preserve"> </w:t>
      </w:r>
      <w:r>
        <w:t xml:space="preserve">(2)</w:t>
      </w:r>
      <w:r>
        <w:t xml:space="preserve">, as well as the prevalent social ideas about what constitutes decent living</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(5)</w:t>
      </w:r>
      <w:r>
        <w:t xml:space="preserve">, and the household carbon footprint around 7 tonnes CO2-equivalence (tCO2eq) per capita</w:t>
      </w:r>
      <w:r>
        <w:t xml:space="preserve"> </w:t>
      </w:r>
      <w:r>
        <w:t xml:space="preserve">(7)</w:t>
      </w:r>
      <w:r>
        <w:t xml:space="preserve">. However, the differences in household energy and carbon footprints are large within and between different regions in Europe. Energy footprints ranged from less than 100 GJ per capita to over 300 GJ per capita</w:t>
      </w:r>
      <w:r>
        <w:t xml:space="preserve"> </w:t>
      </w:r>
      <w:r>
        <w:t xml:space="preserve">(8)</w:t>
      </w:r>
      <w:r>
        <w:t xml:space="preserve">, and carbon footprints from below 2.5 tCO2eq per capita to 55 tCO2eq per capita</w:t>
      </w:r>
      <w:r>
        <w:t xml:space="preserve"> </w:t>
      </w:r>
      <w:r>
        <w:t xml:space="preserve">(9)</w:t>
      </w:r>
      <w:r>
        <w:t xml:space="preserve">. Depending on the assumptions of different global decarbonisation scenarios, the average footprints likely need to be reduced to between 15.3 and 100 GJ per capita</w:t>
      </w:r>
      <w:r>
        <w:t xml:space="preserve"> </w:t>
      </w:r>
      <w:r>
        <w:t xml:space="preserve">(1)</w:t>
      </w:r>
      <w:r>
        <w:t xml:space="preserve">, or 0.5 and 2.1 tCO2eq per capita</w:t>
      </w:r>
      <w:r>
        <w:t xml:space="preserve"> </w:t>
      </w:r>
      <w:r>
        <w:t xml:space="preserve">(10)</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energy and emission savings targets,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(6)</w:t>
      </w:r>
      <w:r>
        <w:t xml:space="preserve"> </w:t>
      </w:r>
      <w:r>
        <w:t xml:space="preserve">and the European HBS macro-data from EUROSTAT for 2015</w:t>
      </w:r>
      <w:r>
        <w:t xml:space="preserve"> </w:t>
      </w:r>
      <w:r>
        <w:t xml:space="preserve">(11)</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EXIOBASE with the EUROSTAT HBS data, we mapped the EXIOBASE sectors to one of the COICOP consumption categories used in the EUROSTAT HBS. We then used the relative expenditure shares of each income quintile on the COICOP consumption categories in the EUROSTAT HBS, to stratify the matching EXIOBASE national household final demand expenditure per sector by income quintile following those relative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(6)</w:t>
      </w:r>
      <w:r>
        <w:t xml:space="preserve">, and the EXIOBASE greenhouse gas (GHG) emission extensions CO2, CH4, N2O, SF6, HFCs and PFCs, from combustion, non-combustion, agriculture and waste, but not land-use change</w:t>
      </w:r>
      <w:r>
        <w:t xml:space="preserve"> </w:t>
      </w:r>
      <w:r>
        <w:t xml:space="preserve">(6)</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(12)</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(1)</w:t>
      </w:r>
      <w:r>
        <w:t xml:space="preserve"> </w:t>
      </w:r>
      <w:r>
        <w:t xml:space="preserve">and Millward-Hopkins et al. (2020)</w:t>
      </w:r>
      <w:r>
        <w:t xml:space="preserve"> </w:t>
      </w:r>
      <w:r>
        <w:t xml:space="preserve">(3)</w:t>
      </w:r>
      <w:r>
        <w:t xml:space="preserve">, while maximum final energy compatible with the 1.5°C target is from the decarbonisation scenarios in the International Institute for Applied Systems Analysis (IIASA) scenario database</w:t>
      </w:r>
      <w:r>
        <w:t xml:space="preserve"> </w:t>
      </w:r>
      <w:r>
        <w:t xml:space="preserve">(13)</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(13)</w:t>
      </w:r>
      <w:r>
        <w:t xml:space="preserve"> </w:t>
      </w:r>
      <w:r>
        <w:t xml:space="preserve">and minimum energy requirements from refs.</w:t>
      </w:r>
      <w:r>
        <w:t xml:space="preserve"> </w:t>
      </w:r>
      <w:r>
        <w:t xml:space="preserve">(1)</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(15)</w:t>
      </w:r>
      <w:r>
        <w:t xml:space="preserve"> </w:t>
      </w:r>
      <w:r>
        <w:t xml:space="preserve">and also within Europe</w:t>
      </w:r>
      <w:r>
        <w:t xml:space="preserve"> </w:t>
      </w:r>
      <w:r>
        <w:t xml:space="preserve">(18)</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(20)</w:t>
      </w:r>
      <w:r>
        <w:t xml:space="preserve">, and had a higher average intensity of carbon per MJ of heat delivered than both Europe and the world</w:t>
      </w:r>
      <w:r>
        <w:t xml:space="preserve"> </w:t>
      </w:r>
      <w:r>
        <w:t xml:space="preserve">(21)</w:t>
      </w:r>
      <w:r>
        <w:t xml:space="preserve">. We did not account for energy subsidies here, but different subsidy levels in different countries could also contribute to higher energy and carbon intensities</w:t>
      </w:r>
      <w:r>
        <w:t xml:space="preserve"> </w:t>
      </w:r>
      <w:r>
        <w:t xml:space="preserve">(22)</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(23)</w:t>
      </w:r>
      <w:r>
        <w:t xml:space="preserve"> </w:t>
      </w:r>
      <w:r>
        <w:t xml:space="preserve">and</w:t>
      </w:r>
      <w:r>
        <w:t xml:space="preserve"> </w:t>
      </w:r>
      <w:r>
        <w:t xml:space="preserve">(8)</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(24)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(13)</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(13)</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(1)</w:t>
      </w:r>
      <w:r>
        <w:t xml:space="preserve"> </w:t>
      </w:r>
      <w:r>
        <w:t xml:space="preserve">and Decent Living Energy (DLE)</w:t>
      </w:r>
      <w:r>
        <w:t xml:space="preserve"> </w:t>
      </w:r>
      <w:r>
        <w:t xml:space="preserve">(3)</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(1)</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which almost entirely fell within the EUROSTAT definition of severe material deprivation</w:t>
      </w:r>
      <w:r>
        <w:t xml:space="preserve"> </w:t>
      </w:r>
      <w:r>
        <w:t xml:space="preserve">(25)</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(24)</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the energy footprint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(3)</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(1)</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(13)</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(13)</w:t>
      </w:r>
      <w:r>
        <w:t xml:space="preserve">.</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inequality levels, only the two scenarios with heavier CCS deployment (SSP2-1.9, SSP1-1.9) and GEA 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energy use targeted in the different 1.5°C compatible scenarios, the energy footprint needs to be reduced in all European countries, as well as almost all expenditure groups. The GHG intensity of energy services needs to be reduced across all expenditure groups. The focus in the lower deciles should be on efficiency improvements, and on absolute reductions in energy consumption in the upper deciles. Even under our bold assumption that the energy and emission efficiencies of the ten expenditure quantiles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life for all at the targeted energy level of the minimum consumption scenarios (X GJ per adult equivalent, down from an average of X GJ) requires a fundamental reorganization of almost all areas of life and economy. It seems hard to imagine how, for example, the living space per capita can be reduced from about 40m² to 15m², or the number of private cars can be reduced from X to X which are the assumption behind the [xxx] scenario. However, each increase in the minimum energy consumption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body behind</w:t>
      </w:r>
      <w:r>
        <w:t xml:space="preserve">”</w:t>
      </w:r>
      <w:r>
        <w:t xml:space="preserve">, as the European Green Deal promises.</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 zone offers little monetary or fiscal leeway to member states, especially the less wealthy where this would be particularly important, to strengthen or introduce such measures. At the European level, implementation fails due to the lack of a common economic policy, as well as the fact that the ECB (unlike other central banks) only has a mandate to stabilize prices, but not to provide full employment or other effective means of social protection for European citizens.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(MCC/Edenhofer). In addition, other distribution instruments such as wealth and inheritance taxes, more progressive income tax, will have to be discussed in order to reduce the large differences in purchasing power within and between the countries of the EU,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 (Haberl, 2020, D’Alessandro 2020). Although our empirical investigation is limited to countries in Europe, we contend that our main conclusions apply in a similar or stronger form to the global achievement of climate and equity goals as articulated in the SDGs.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98" w:name="refs"/>
    <w:bookmarkStart w:id="47" w:name="ref-grubler_low_2018"/>
    <w:p>
      <w:pPr>
        <w:pStyle w:val="Bibliography"/>
      </w:pPr>
      <w:r>
        <w:t xml:space="preserve">1.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6">
        <w:r>
          <w:rPr>
            <w:rStyle w:val="Hyperlink"/>
          </w:rPr>
          <w:t xml:space="preserve">https://rdcu.be/SOJx</w:t>
        </w:r>
      </w:hyperlink>
    </w:p>
    <w:bookmarkEnd w:id="47"/>
    <w:bookmarkStart w:id="49" w:name="ref-creutzig_towards_2018"/>
    <w:p>
      <w:pPr>
        <w:pStyle w:val="Bibliography"/>
      </w:pPr>
      <w:r>
        <w:t xml:space="preserve">2. Creutzig F, Roy J, Lamb WF, Azevedo IML, Bruine de Bruin W, Dalkmann H, et al. Towards demand-side solutions for mitigating climate change. Nature Climate Change [Internet]. 2018 Apr [cited 2018 Oct 2];8(4):260–3. Available from:</w:t>
      </w:r>
      <w:r>
        <w:t xml:space="preserve"> </w:t>
      </w:r>
      <w:hyperlink r:id="rId48">
        <w:r>
          <w:rPr>
            <w:rStyle w:val="Hyperlink"/>
          </w:rPr>
          <w:t xml:space="preserve">http://www.nature.com/articles/s41558-018-0121-1</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rao_energy_2019"/>
    <w:p>
      <w:pPr>
        <w:pStyle w:val="Bibliography"/>
      </w:pPr>
      <w:r>
        <w:t xml:space="preserve">4. Rao ND, Min J, Mastrucci A. Energy requirements for decent living in India, Brazil and South Africa. Nature Energy [Internet]. 2019 Dec [cited 2020 Aug 18];4(12):1025–32. Available from:</w:t>
      </w:r>
      <w:r>
        <w:t xml:space="preserve"> </w:t>
      </w:r>
      <w:hyperlink r:id="rId52">
        <w:r>
          <w:rPr>
            <w:rStyle w:val="Hyperlink"/>
          </w:rPr>
          <w:t xml:space="preserve">https://www.nature.com/articles/s41560-019-0497-9</w:t>
        </w:r>
      </w:hyperlink>
    </w:p>
    <w:bookmarkEnd w:id="53"/>
    <w:bookmarkStart w:id="55" w:name="ref-eurostat_eurostat_nodate-3"/>
    <w:p>
      <w:pPr>
        <w:pStyle w:val="Bibliography"/>
      </w:pPr>
      <w:r>
        <w:t xml:space="preserve">5. Eurostat. Eurostat - Data Explorer - Energy used for the provision of goods and services (domestic energy footprint) - input-output analysis [Internet]. [cited 2021 Feb 10]. Available from:</w:t>
      </w:r>
      <w:r>
        <w:t xml:space="preserve"> </w:t>
      </w:r>
      <w:hyperlink r:id="rId54">
        <w:r>
          <w:rPr>
            <w:rStyle w:val="Hyperlink"/>
          </w:rPr>
          <w:t xml:space="preserve">https://appsso.eurostat.ec.europa.eu/nui/show.do?dataset=env_ac_pefafp&amp;lang=en</w:t>
        </w:r>
      </w:hyperlink>
    </w:p>
    <w:bookmarkEnd w:id="55"/>
    <w:bookmarkStart w:id="57" w:name="ref-stadler_exiobase_2018"/>
    <w:p>
      <w:pPr>
        <w:pStyle w:val="Bibliography"/>
      </w:pPr>
      <w:r>
        <w:t xml:space="preserve">6.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6">
        <w:r>
          <w:rPr>
            <w:rStyle w:val="Hyperlink"/>
          </w:rPr>
          <w:t xml:space="preserve">https://onlinelibrary.wiley.com/doi/abs/10.1111/jiec.12715</w:t>
        </w:r>
      </w:hyperlink>
    </w:p>
    <w:bookmarkEnd w:id="57"/>
    <w:bookmarkStart w:id="59" w:name="ref-eurostat_eurostat_nodate-4"/>
    <w:p>
      <w:pPr>
        <w:pStyle w:val="Bibliography"/>
      </w:pPr>
      <w:r>
        <w:t xml:space="preserve">7. Eurostat. Eurostat - Data Explorer - Emissions of greenhouse gases and air pollutants from final use of CPA08 products - input-output analysis, ESA 2010 [Internet]. [cited 2021 Feb 10]. Available from:</w:t>
      </w:r>
      <w:r>
        <w:t xml:space="preserve"> </w:t>
      </w:r>
      <w:hyperlink r:id="rId58">
        <w:r>
          <w:rPr>
            <w:rStyle w:val="Hyperlink"/>
          </w:rPr>
          <w:t xml:space="preserve">https://appsso.eurostat.ec.europa.eu/nui/show.do?dataset=env_ac_io10&amp;lang=en</w:t>
        </w:r>
      </w:hyperlink>
    </w:p>
    <w:bookmarkEnd w:id="59"/>
    <w:bookmarkStart w:id="61" w:name="ref-oswald_large_2020"/>
    <w:p>
      <w:pPr>
        <w:pStyle w:val="Bibliography"/>
      </w:pPr>
      <w:r>
        <w:t xml:space="preserve">8.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0">
        <w:r>
          <w:rPr>
            <w:rStyle w:val="Hyperlink"/>
          </w:rPr>
          <w:t xml:space="preserve">https://www.nature.com/articles/s41560-020-0579-8</w:t>
        </w:r>
      </w:hyperlink>
    </w:p>
    <w:bookmarkEnd w:id="61"/>
    <w:bookmarkStart w:id="63" w:name="ref-ivanova_unequal_2020"/>
    <w:p>
      <w:pPr>
        <w:pStyle w:val="Bibliography"/>
      </w:pPr>
      <w:r>
        <w:t xml:space="preserve">9. Ivanova D, Wood R. The unequal distribution of household carbon footprints in Europe and its link to sustainability. Global Sustainability [Internet]. 2020 [cited 2020 Jul 7];3. Available from:</w:t>
      </w:r>
      <w:r>
        <w:t xml:space="preserve"> </w:t>
      </w:r>
      <w:hyperlink r:id="rId62">
        <w:r>
          <w:rPr>
            <w:rStyle w:val="Hyperlink"/>
          </w:rPr>
          <w:t xml:space="preserve">https://www.cambridge.org/core/journals/global-sustainability/article/unequal-distribution-of-household-carbon-footprints-in-europe-and-its-link-to-sustainability/F1ED4F705AF1C6C1FCAD477398353DC2</w:t>
        </w:r>
      </w:hyperlink>
    </w:p>
    <w:bookmarkEnd w:id="63"/>
    <w:bookmarkStart w:id="65" w:name="ref-akenji_1.5-degree_2019"/>
    <w:p>
      <w:pPr>
        <w:pStyle w:val="Bibliography"/>
      </w:pPr>
      <w:r>
        <w:t xml:space="preserve">10.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4">
        <w:r>
          <w:rPr>
            <w:rStyle w:val="Hyperlink"/>
          </w:rPr>
          <w:t xml:space="preserve">https://www.iges.or.jp/en/pub/15-degrees-lifestyles-2019/en</w:t>
        </w:r>
      </w:hyperlink>
    </w:p>
    <w:bookmarkEnd w:id="65"/>
    <w:bookmarkStart w:id="67" w:name="ref-eurostat_database_nodate"/>
    <w:p>
      <w:pPr>
        <w:pStyle w:val="Bibliography"/>
      </w:pPr>
      <w:r>
        <w:t xml:space="preserve">11. Eurostat. Database - Household budget surveys - Eurostat [Internet]. [cited 2021 Jan 20]. Available from:</w:t>
      </w:r>
      <w:r>
        <w:t xml:space="preserve"> </w:t>
      </w:r>
      <w:hyperlink r:id="rId66">
        <w:r>
          <w:rPr>
            <w:rStyle w:val="Hyperlink"/>
          </w:rPr>
          <w:t xml:space="preserve">https://ec.europa.eu/eurostat/web/household-budget-surveys/database</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riahi_shared_2017"/>
    <w:p>
      <w:pPr>
        <w:pStyle w:val="Bibliography"/>
      </w:pPr>
      <w:r>
        <w:t xml:space="preserve">13.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70">
        <w:r>
          <w:rPr>
            <w:rStyle w:val="Hyperlink"/>
          </w:rPr>
          <w:t xml:space="preserve">http://www.sciencedirect.com/science/article/pii/S0959378016300681</w:t>
        </w:r>
      </w:hyperlink>
    </w:p>
    <w:bookmarkEnd w:id="71"/>
    <w:bookmarkStart w:id="73" w:name="ref-gea_gea_nodate"/>
    <w:p>
      <w:pPr>
        <w:pStyle w:val="Bibliography"/>
      </w:pPr>
      <w:r>
        <w:t xml:space="preserve">14. GEA. GEA Scenario database (public) [Internet]. [cited 2021 Jan 20]. Available from:</w:t>
      </w:r>
      <w:r>
        <w:t xml:space="preserve"> </w:t>
      </w:r>
      <w:hyperlink r:id="rId72">
        <w:r>
          <w:rPr>
            <w:rStyle w:val="Hyperlink"/>
          </w:rPr>
          <w:t xml:space="preserve">https://www.iiasa.ac.at/web-apps/ene/geadb/dsd?Action=htmlpage&amp;page=about</w:t>
        </w:r>
      </w:hyperlink>
    </w:p>
    <w:bookmarkEnd w:id="73"/>
    <w:bookmarkStart w:id="75" w:name="ref-hubacek_global_2017"/>
    <w:p>
      <w:pPr>
        <w:pStyle w:val="Bibliography"/>
      </w:pPr>
      <w:r>
        <w:t xml:space="preserve">15. Hubacek K, Baiocchi G, Feng K, Muñoz Castillo R, Sun L, Xue J. Global carbon inequality. Energy, Ecology and Environment [Internet]. 2017 Dec [cited 2019 Jul 16];2(6):361–9. Available from:</w:t>
      </w:r>
      <w:r>
        <w:t xml:space="preserve"> </w:t>
      </w:r>
      <w:hyperlink r:id="rId74">
        <w:r>
          <w:rPr>
            <w:rStyle w:val="Hyperlink"/>
          </w:rPr>
          <w:t xml:space="preserve">https://doi.org/10.1007/s40974-017-0072-9</w:t>
        </w:r>
      </w:hyperlink>
    </w:p>
    <w:bookmarkEnd w:id="75"/>
    <w:bookmarkStart w:id="77" w:name="ref-berthe_mechanisms_2015"/>
    <w:p>
      <w:pPr>
        <w:pStyle w:val="Bibliography"/>
      </w:pPr>
      <w:r>
        <w:t xml:space="preserve">16. Berthe A, Elie L. Mechanisms explaining the impact of economic inequality on environmental deterioration. Ecological Economics [Internet]. 2015 [cited 2019 Dec 18];116(Complete):191–200. Available from:</w:t>
      </w:r>
      <w:r>
        <w:t xml:space="preserve"> </w:t>
      </w:r>
      <w:hyperlink r:id="rId76">
        <w:r>
          <w:rPr>
            <w:rStyle w:val="Hyperlink"/>
          </w:rPr>
          <w:t xml:space="preserve">http://journals.scholarsportal.info/detailsundefined</w:t>
        </w:r>
      </w:hyperlink>
    </w:p>
    <w:bookmarkEnd w:id="77"/>
    <w:bookmarkStart w:id="79" w:name="ref-scruggs_political_1998"/>
    <w:p>
      <w:pPr>
        <w:pStyle w:val="Bibliography"/>
      </w:pPr>
      <w:r>
        <w:t xml:space="preserve">17. Scruggs L. Political and economic inequality and the environment. Ecological Economics [Internet]. 1998 [cited 2020 Jan 15];26(3):259–75. Available from:</w:t>
      </w:r>
      <w:r>
        <w:t xml:space="preserve"> </w:t>
      </w:r>
      <w:hyperlink r:id="rId78">
        <w:r>
          <w:rPr>
            <w:rStyle w:val="Hyperlink"/>
          </w:rPr>
          <w:t xml:space="preserve">https://econpapers.repec.org/article/eeeecolec/v_3a26_3ay_3a1998_3ai_3a3_3ap_3a259-275.htm</w:t>
        </w:r>
      </w:hyperlink>
    </w:p>
    <w:bookmarkEnd w:id="79"/>
    <w:bookmarkStart w:id="81" w:name="ref-sommer_carbon_2017"/>
    <w:p>
      <w:pPr>
        <w:pStyle w:val="Bibliography"/>
      </w:pPr>
      <w:r>
        <w:t xml:space="preserve">18. Sommer M, Kratena K. The Carbon Footprint of European Households and Income Distribution. Ecological Economics [Internet]. 2017 [cited 2020 Aug 12];136(C):62–72. Available from:</w:t>
      </w:r>
      <w:r>
        <w:t xml:space="preserve"> </w:t>
      </w:r>
      <w:hyperlink r:id="rId80">
        <w:r>
          <w:rPr>
            <w:rStyle w:val="Hyperlink"/>
          </w:rPr>
          <w:t xml:space="preserve">https://econpapers.repec.org/article/eeeecolec/v_3a136_3ay_3a2017_3ai_3ac_3ap_3a62-72.htm</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stat_eurostat_nodate-2"/>
    <w:p>
      <w:pPr>
        <w:pStyle w:val="Bibliography"/>
      </w:pPr>
      <w:r>
        <w:t xml:space="preserve">20. Eurostat. Eurostat - Data Explorer - Production of electricity and derived heat by type of fuel [Internet]. [cited 2021 Jan 22]. Available from:</w:t>
      </w:r>
      <w:r>
        <w:t xml:space="preserve"> </w:t>
      </w:r>
      <w:hyperlink r:id="rId84">
        <w:r>
          <w:rPr>
            <w:rStyle w:val="Hyperlink"/>
          </w:rPr>
          <w:t xml:space="preserve">https://appsso.eurostat.ec.europa.eu/nui/submitViewTableAction.do</w:t>
        </w:r>
      </w:hyperlink>
    </w:p>
    <w:bookmarkEnd w:id="85"/>
    <w:bookmarkStart w:id="87" w:name="ref-werner_international_2017"/>
    <w:p>
      <w:pPr>
        <w:pStyle w:val="Bibliography"/>
      </w:pPr>
      <w:r>
        <w:t xml:space="preserve">21. Werner S. International review of district heating and cooling. Energy [Internet]. 2017 Oct [cited 2020 Aug 11];137:617–31. Available from:</w:t>
      </w:r>
      <w:r>
        <w:t xml:space="preserve"> </w:t>
      </w:r>
      <w:hyperlink r:id="rId86">
        <w:r>
          <w:rPr>
            <w:rStyle w:val="Hyperlink"/>
          </w:rPr>
          <w:t xml:space="preserve">http://www.sciencedirect.com/science/article/pii/S036054421730614X</w:t>
        </w:r>
      </w:hyperlink>
    </w:p>
    <w:bookmarkEnd w:id="87"/>
    <w:bookmarkStart w:id="89" w:name="ref-sovacool_reviewing_2017"/>
    <w:p>
      <w:pPr>
        <w:pStyle w:val="Bibliography"/>
      </w:pPr>
      <w:r>
        <w:t xml:space="preserve">22. Sovacool BK. Reviewing, Reforming, and Rethinking Global Energy Subsidies: Towards a Political Economy Research Agenda. Ecological Economics [Internet]. 2017 May [cited 2021 Feb 12];135:150–63. Available from:</w:t>
      </w:r>
      <w:r>
        <w:t xml:space="preserve"> </w:t>
      </w:r>
      <w:hyperlink r:id="rId88">
        <w:r>
          <w:rPr>
            <w:rStyle w:val="Hyperlink"/>
          </w:rPr>
          <w:t xml:space="preserve">https://www.sciencedirect.com/science/article/pii/S0921800916303494</w:t>
        </w:r>
      </w:hyperlink>
    </w:p>
    <w:bookmarkEnd w:id="89"/>
    <w:bookmarkStart w:id="91" w:name="ref-ivanova_quantifying_2020"/>
    <w:p>
      <w:pPr>
        <w:pStyle w:val="Bibliography"/>
      </w:pPr>
      <w:r>
        <w:t xml:space="preserve">23. Ivanova D, Barrett J, Wiedenhofer D, Macura B, Callaghan MW, Creutzig F. Quantifying the potential for climate change mitigation of consumption options. Environmental Research Letters [Internet]. 2020 [cited 2020 Jun 30]; Available from:</w:t>
      </w:r>
      <w:r>
        <w:t xml:space="preserve"> </w:t>
      </w:r>
      <w:hyperlink r:id="rId90">
        <w:r>
          <w:rPr>
            <w:rStyle w:val="Hyperlink"/>
          </w:rPr>
          <w:t xml:space="preserve">http://iopscience.iop.org/10.1088/1748-9326/ab8589</w:t>
        </w:r>
      </w:hyperlink>
    </w:p>
    <w:bookmarkEnd w:id="91"/>
    <w:bookmarkStart w:id="93" w:name="X4d7f8dadc9cc10bd19aa1d121dc1c6e986790bb"/>
    <w:p>
      <w:pPr>
        <w:pStyle w:val="Bibliography"/>
      </w:pPr>
      <w:r>
        <w:t xml:space="preserve">24. European Commission. Communication on The European Green Deal [Internet]. European Commission - European Commission. 2019 [cited 2020 Jul 6]. Available from:</w:t>
      </w:r>
      <w:r>
        <w:t xml:space="preserve"> </w:t>
      </w:r>
      <w:hyperlink r:id="rId92">
        <w:r>
          <w:rPr>
            <w:rStyle w:val="Hyperlink"/>
          </w:rPr>
          <w:t xml:space="preserve">https://ec.europa.eu/info/publications/communication-european-green-deal_en</w:t>
        </w:r>
      </w:hyperlink>
    </w:p>
    <w:bookmarkEnd w:id="93"/>
    <w:bookmarkStart w:id="95" w:name="ref-eurostat_living_nodate"/>
    <w:p>
      <w:pPr>
        <w:pStyle w:val="Bibliography"/>
      </w:pPr>
      <w:r>
        <w:t xml:space="preserve">25. Eurostat. Living conditions in Europe - material deprivation and economic strain - Statistics Explained [Internet]. [cited 2021 Jan 23]. Available from:</w:t>
      </w:r>
      <w:r>
        <w:t xml:space="preserve"> </w:t>
      </w:r>
      <w:hyperlink r:id="rId94">
        <w:r>
          <w:rPr>
            <w:rStyle w:val="Hyperlink"/>
          </w:rPr>
          <w:t xml:space="preserve">https://ec.europa.eu/eurostat/statistics-explained/index.php?title=Living_conditions_in_Europe_-_material_deprivation_and_economic_strain</w:t>
        </w:r>
      </w:hyperlink>
    </w:p>
    <w:bookmarkEnd w:id="95"/>
    <w:bookmarkStart w:id="97" w:name="ref-european_commission_european_2020"/>
    <w:p>
      <w:pPr>
        <w:pStyle w:val="Bibliography"/>
      </w:pPr>
      <w:r>
        <w:t xml:space="preserve">26. European Commission. The European Green Deal Investment Plan and JTM explained [Internet]. European Commission - European Commission. 2020 [cited 2020 Aug 7]. Available from:</w:t>
      </w:r>
      <w:r>
        <w:t xml:space="preserve"> </w:t>
      </w:r>
      <w:hyperlink r:id="rId96">
        <w:r>
          <w:rPr>
            <w:rStyle w:val="Hyperlink"/>
          </w:rPr>
          <w:t xml:space="preserve">https://ec.europa.eu/commission/presscorner/detail/en/qanda_20_24</w:t>
        </w:r>
      </w:hyperlink>
    </w:p>
    <w:bookmarkEnd w:id="97"/>
    <w:bookmarkEnd w:id="98"/>
    <w:p>
      <w:r>
        <w:br w:type="page"/>
      </w:r>
    </w:p>
    <w:p>
      <w:pPr>
        <w:pStyle w:val="Heading3"/>
      </w:pPr>
      <w:bookmarkStart w:id="99" w:name="colophon"/>
      <w:r>
        <w:t xml:space="preserve">Colophon</w:t>
      </w:r>
      <w:bookmarkEnd w:id="99"/>
    </w:p>
    <w:p>
      <w:pPr>
        <w:pStyle w:val="FirstParagraph"/>
      </w:pPr>
      <w:r>
        <w:t xml:space="preserve">This report was generated on 2021-02-15 12:31:09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[18e149e] 2021-02-15: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90"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6"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4"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2"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88" Target="https://www.sciencedirect.com/science/article/pii/S0921800916303494" TargetMode="External" /></Relationships>
</file>

<file path=word/_rels/footnotes.xml.rels><?xml version="1.0" encoding="UTF-8"?>
<Relationships xmlns="http://schemas.openxmlformats.org/package/2006/relationships"><Relationship Type="http://schemas.openxmlformats.org/officeDocument/2006/relationships/hyperlink" Id="rId90" Target="http://iopscience.iop.org/10.1088/1748-9326/ab8589" TargetMode="External" /><Relationship Type="http://schemas.openxmlformats.org/officeDocument/2006/relationships/hyperlink" Id="rId76" Target="http://journals.scholarsportal.info/detailsundefined" TargetMode="External" /><Relationship Type="http://schemas.openxmlformats.org/officeDocument/2006/relationships/hyperlink" Id="rId48" Target="http://www.nature.com/articles/s41558-018-0121-1" TargetMode="External" /><Relationship Type="http://schemas.openxmlformats.org/officeDocument/2006/relationships/hyperlink" Id="rId86"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4"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96"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94"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92" Target="https://ec.europa.eu/info/publications/communication-european-green-deal_en" TargetMode="External" /><Relationship Type="http://schemas.openxmlformats.org/officeDocument/2006/relationships/hyperlink" Id="rId80" Target="https://econpapers.repec.org/article/eeeecolec/v_3a136_3ay_3a2017_3ai_3ac_3ap_3a62-72.htm" TargetMode="External" /><Relationship Type="http://schemas.openxmlformats.org/officeDocument/2006/relationships/hyperlink" Id="rId78" Target="https://econpapers.repec.org/article/eeeecolec/v_3a26_3ay_3a1998_3ai_3a3_3ap_3a259-275.htm" TargetMode="External" /><Relationship Type="http://schemas.openxmlformats.org/officeDocument/2006/relationships/hyperlink" Id="rId56" Target="https://onlinelibrary.wiley.com/doi/abs/10.1111/jiec.12715" TargetMode="External" /><Relationship Type="http://schemas.openxmlformats.org/officeDocument/2006/relationships/hyperlink" Id="rId46" Target="https://rdcu.be/SOJx"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88" Target="https://www.sciencedirect.com/science/article/pii/S092180091630349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2021-02-15T11:31:11Z</dcterms:created>
  <dcterms:modified xsi:type="dcterms:W3CDTF">2021-02-15T11:31:11Z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