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22</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w:t>
      </w:r>
      <w:r>
        <w:t xml:space="preserve"> </w:t>
      </w:r>
      <w:r>
        <w:t xml:space="preserve">(Stadler et al., 2018)</w:t>
      </w:r>
      <w:r>
        <w:t xml:space="preserve">,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(Riahi et al., 2017</w:t>
      </w:r>
      <w:r>
        <w:t xml:space="preserve"> </w:t>
      </w:r>
      <w:r>
        <w:t xml:space="preserve">@gea_gea_nodate</w:t>
      </w:r>
      <w:r>
        <w:t xml:space="preserve">)</w:t>
      </w:r>
      <w:r>
        <w:t xml:space="preserve">, and work by Grubler et al. (2018)</w:t>
      </w:r>
      <w:r>
        <w:t xml:space="preserve"> </w:t>
      </w:r>
      <w:r>
        <w:t xml:space="preserve">(Grubler et al., 2018)</w:t>
      </w:r>
      <w:r>
        <w:t xml:space="preserve"> </w:t>
      </w:r>
      <w:r>
        <w:t xml:space="preserve">and Millward-Hopkins et al. (2020)</w:t>
      </w:r>
      <w:r>
        <w:t xml:space="preserve"> </w:t>
      </w:r>
      <w:r>
        <w:t xml:space="preserve">(Millward-Hopkins et al., 2020)</w:t>
      </w:r>
      <w:r>
        <w:t xml:space="preserve">.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data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(our aggregated</w:t>
      </w:r>
      <w:r>
        <w:t xml:space="preserve"> </w:t>
      </w:r>
      <w:r>
        <w:t xml:space="preserve">‘</w:t>
      </w:r>
      <w:r>
        <w:t xml:space="preserve">shelter</w:t>
      </w:r>
      <w:r>
        <w:t xml:space="preserve">’</w:t>
      </w:r>
      <w:r>
        <w:t xml:space="preserve"> </w:t>
      </w:r>
      <w:r>
        <w:t xml:space="preserve">sector does not include rental payments. We have included the EXIOBASE production sector</w:t>
      </w:r>
      <w:r>
        <w:t xml:space="preserve"> </w:t>
      </w:r>
      <w:r>
        <w:t xml:space="preserve">‘</w:t>
      </w:r>
      <w:r>
        <w:t xml:space="preserve">real estate services</w:t>
      </w:r>
      <w:r>
        <w:t xml:space="preserve">’</w:t>
      </w:r>
      <w:r>
        <w:t xml:space="preserve">, which includes rental payments,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(Eurostat, n.d.)</w:t>
      </w:r>
      <w:r>
        <w:t xml:space="preserve">, and had a higher average intensity of carbon per MJ of heat delivered than both Europe and the world</w:t>
      </w:r>
      <w:r>
        <w:t xml:space="preserve"> </w:t>
      </w:r>
      <w:r>
        <w:t xml:space="preserve">(Werner, 2017)</w:t>
      </w:r>
      <w:r>
        <w:t xml:space="preserve">. These differences in energy and carbon intensities in basic, non-luxury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@kerkhof_determinants_2009)</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(Hubacek, Baiocchi, Feng, and Patwardhan, 2017, p. @woodward_incrementum_2015)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84"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4" w:name="ref-eurostat_eurostat_nodate-2"/>
    <w:p>
      <w:pPr>
        <w:pStyle w:val="Bibliography"/>
      </w:pPr>
      <w:r>
        <w:t xml:space="preserve">Eurostat, n.d. Eurostat - Data Explorer - Production of electricity and derived heat by type of fuel.</w:t>
      </w:r>
    </w:p>
    <w:bookmarkEnd w:id="44"/>
    <w:bookmarkStart w:id="45" w:name="ref-gea_gea_nodate"/>
    <w:p>
      <w:pPr>
        <w:pStyle w:val="Bibliography"/>
      </w:pPr>
      <w:r>
        <w:t xml:space="preserve">GEA, n.d. GEA Scenario database (public).</w:t>
      </w:r>
    </w:p>
    <w:bookmarkEnd w:id="45"/>
    <w:bookmarkStart w:id="47" w:name="ref-golley_income_2012"/>
    <w:p>
      <w:pPr>
        <w:pStyle w:val="Bibliography"/>
      </w:pPr>
      <w:r>
        <w:t xml:space="preserve">Golley, J., Meng, X., 2012. Income inequality and carbon dioxide emissions: The case of Chinese urban households. Energy Economics 34, 1864–1872.</w:t>
      </w:r>
      <w:r>
        <w:t xml:space="preserve"> </w:t>
      </w:r>
      <w:hyperlink r:id="rId46">
        <w:r>
          <w:rPr>
            <w:rStyle w:val="Hyperlink"/>
          </w:rPr>
          <w:t xml:space="preserve">https://doi.org/10.1016/j.eneco.2012.07.025</w:t>
        </w:r>
      </w:hyperlink>
    </w:p>
    <w:bookmarkEnd w:id="47"/>
    <w:bookmarkStart w:id="48" w:name="ref-gore_extreme_2015"/>
    <w:p>
      <w:pPr>
        <w:pStyle w:val="Bibliography"/>
      </w:pPr>
      <w:r>
        <w:t xml:space="preserve">Gore, T., 2015. Extreme Carbon Inequality: Why the Paris climate deal must put the poorest, lowest emitting and most vulnerable people first.</w:t>
      </w:r>
    </w:p>
    <w:bookmarkEnd w:id="48"/>
    <w:bookmarkStart w:id="5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50"/>
    <w:bookmarkStart w:id="52"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51">
        <w:r>
          <w:rPr>
            <w:rStyle w:val="Hyperlink"/>
          </w:rPr>
          <w:t xml:space="preserve">https://doi.org/10.1111/jiec.13045</w:t>
        </w:r>
      </w:hyperlink>
    </w:p>
    <w:bookmarkEnd w:id="52"/>
    <w:bookmarkStart w:id="54" w:name="ref-hubacek_global_2017-1"/>
    <w:p>
      <w:pPr>
        <w:pStyle w:val="Bibliography"/>
      </w:pPr>
      <w:r>
        <w:t xml:space="preserve">Hubacek, K., Baiocchi, G., Feng, K., Muñoz Castillo, R., Sun, L., Xue, J., 2017. Global carbon inequality. Energy, Ecology and Environment 2, 361–369.</w:t>
      </w:r>
      <w:r>
        <w:t xml:space="preserve"> </w:t>
      </w:r>
      <w:hyperlink r:id="rId53">
        <w:r>
          <w:rPr>
            <w:rStyle w:val="Hyperlink"/>
          </w:rPr>
          <w:t xml:space="preserve">https://doi.org/10.1007/s40974-017-0072-9</w:t>
        </w:r>
      </w:hyperlink>
    </w:p>
    <w:bookmarkEnd w:id="54"/>
    <w:bookmarkStart w:id="56" w:name="ref-hubacek_poverty_2017"/>
    <w:p>
      <w:pPr>
        <w:pStyle w:val="Bibliography"/>
      </w:pPr>
      <w:r>
        <w:t xml:space="preserve">Hubacek, K., Baiocchi, G., Feng, K., Patwardhan, A., 2017. Poverty eradication in a carbon constrained world. Nature Communications 8, 1–9.</w:t>
      </w:r>
      <w:r>
        <w:t xml:space="preserve"> </w:t>
      </w:r>
      <w:hyperlink r:id="rId55">
        <w:r>
          <w:rPr>
            <w:rStyle w:val="Hyperlink"/>
          </w:rPr>
          <w:t xml:space="preserve">https://doi.org/10.1038/s41467-017-00919-4</w:t>
        </w:r>
      </w:hyperlink>
    </w:p>
    <w:bookmarkEnd w:id="56"/>
    <w:bookmarkStart w:id="58"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7">
        <w:r>
          <w:rPr>
            <w:rStyle w:val="Hyperlink"/>
          </w:rPr>
          <w:t xml:space="preserve">https://doi.org/10.1088/1748-9326/ab8589</w:t>
        </w:r>
      </w:hyperlink>
    </w:p>
    <w:bookmarkEnd w:id="58"/>
    <w:bookmarkStart w:id="60"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9">
        <w:r>
          <w:rPr>
            <w:rStyle w:val="Hyperlink"/>
          </w:rPr>
          <w:t xml:space="preserve">https://doi.org/10.1111/jiec.12371</w:t>
        </w:r>
      </w:hyperlink>
    </w:p>
    <w:bookmarkEnd w:id="60"/>
    <w:bookmarkStart w:id="62"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61">
        <w:r>
          <w:rPr>
            <w:rStyle w:val="Hyperlink"/>
          </w:rPr>
          <w:t xml:space="preserve">https://doi.org/10.1017/sus.2020.12</w:t>
        </w:r>
      </w:hyperlink>
    </w:p>
    <w:bookmarkEnd w:id="62"/>
    <w:bookmarkStart w:id="63" w:name="ref-kartha_carbon_2020"/>
    <w:p>
      <w:pPr>
        <w:pStyle w:val="Bibliography"/>
      </w:pPr>
      <w:r>
        <w:t xml:space="preserve">Kartha, S., Kemp-Benedict, E., Ghosh, E., Nazareth, A., 2020. The Carbon Inequality Era.</w:t>
      </w:r>
    </w:p>
    <w:bookmarkEnd w:id="63"/>
    <w:bookmarkStart w:id="64" w:name="ref-kerkhof_determinants_2009"/>
    <w:p>
      <w:pPr>
        <w:pStyle w:val="Bibliography"/>
      </w:pPr>
      <w:r>
        <w:t xml:space="preserve">Kerkhof, A.C., Benders, R.M.J., Moll, H.C., 2009. Determinants of variation in household CO2 emissions between and within countries. Energy Policy 37, 1509–1517.</w:t>
      </w:r>
    </w:p>
    <w:bookmarkEnd w:id="64"/>
    <w:bookmarkStart w:id="66"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5">
        <w:r>
          <w:rPr>
            <w:rStyle w:val="Hyperlink"/>
          </w:rPr>
          <w:t xml:space="preserve">https://doi.org/10.1016/j.gloenvcha.2020.102168</w:t>
        </w:r>
      </w:hyperlink>
    </w:p>
    <w:bookmarkEnd w:id="66"/>
    <w:bookmarkStart w:id="68"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7">
        <w:r>
          <w:rPr>
            <w:rStyle w:val="Hyperlink"/>
          </w:rPr>
          <w:t xml:space="preserve">https://doi.org/10.1038/s41560-020-0579-8</w:t>
        </w:r>
      </w:hyperlink>
    </w:p>
    <w:bookmarkEnd w:id="68"/>
    <w:bookmarkStart w:id="69"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9"/>
    <w:bookmarkStart w:id="71" w:name="ref-riahi_shared_2017"/>
    <w:p>
      <w:pPr>
        <w:pStyle w:val="Bibliography"/>
      </w:pPr>
      <w:r>
        <w:t xml:space="preserve">Riahi, K., Vuuren, D.P. van, Kriegler, E., Edmonds, J., O’Neill, B.C., Fujimori, S., Bauer, N., Calvin, K., Dellink, R., Fricko, O., Lutz, W., Popp, A., Cuaresma, J.C., Kc, S., Leimbach, M., Jiang, L., Kram, T., Rao, S., Emmerling, J., Ebi, K., Hasegawa, T., Havlik, P., Humpenöder, F., Da Silva, L.A., Smith, S., Stehfest, E., Bosetti, V., Eom, J., Gernaat, D., Masui, T., Rogelj, J., Strefler, J., Drouet, L., Krey, V., Luderer, G., Harmsen, M., Takahashi, K., Baumstark, L., Doelman, J.C., Kainuma, M., Klimont, Z., Marangoni, G., Lotze-Campen, H., Obersteiner, M., Tabeau, A., Tavoni, M., 2017. The Shared Socioeconomic Pathways and their energy, land use, and greenhouse gas emissions implications: An overview. Global Environmental Change 42, 153–168.</w:t>
      </w:r>
      <w:r>
        <w:t xml:space="preserve"> </w:t>
      </w:r>
      <w:hyperlink r:id="rId70">
        <w:r>
          <w:rPr>
            <w:rStyle w:val="Hyperlink"/>
          </w:rPr>
          <w:t xml:space="preserve">https://doi.org/10.1016/j.gloenvcha.2016.05.009</w:t>
        </w:r>
      </w:hyperlink>
    </w:p>
    <w:bookmarkEnd w:id="71"/>
    <w:bookmarkStart w:id="72" w:name="ref-scruggs_political_1998"/>
    <w:p>
      <w:pPr>
        <w:pStyle w:val="Bibliography"/>
      </w:pPr>
      <w:r>
        <w:t xml:space="preserve">Scruggs, L., 1998. Political and economic inequality and the environment. Ecological Economics 26, 259–275.</w:t>
      </w:r>
    </w:p>
    <w:bookmarkEnd w:id="72"/>
    <w:bookmarkStart w:id="73" w:name="ref-sommer_carbon_2017"/>
    <w:p>
      <w:pPr>
        <w:pStyle w:val="Bibliography"/>
      </w:pPr>
      <w:r>
        <w:t xml:space="preserve">Sommer, M., Kratena, K., 2017. The Carbon Footprint of European Households and Income Distribution. Ecological Economics 136, 62–72.</w:t>
      </w:r>
    </w:p>
    <w:bookmarkEnd w:id="73"/>
    <w:bookmarkStart w:id="75" w:name="ref-stadler_exiobase_2018"/>
    <w:p>
      <w:pPr>
        <w:pStyle w:val="Bibliography"/>
      </w:pPr>
      <w:r>
        <w:t xml:space="preserve">Stadler, K., Wood, R., Bulavskaya, T., Södersten, C.-J., Simas, M., Schmidt, S., Usubiaga, A., Acosta‐Fernández, J., Kuenen, J., Bruckner, M., Giljum, S., Lutter, S., Merciai, S., Schmidt, J.H., Theurl, M.C., Plutzar, C., Kastner, T., Eisenmenger, N., Erb, K.-H., Koning, A. de, Tukker, A., 2018. EXIOBASE 3: Developing a Time Series of Detailed Environmentally Extended Multi-Regional Input-Output Tables. Journal of Industrial Ecology 22, 502–515.</w:t>
      </w:r>
      <w:r>
        <w:t xml:space="preserve"> </w:t>
      </w:r>
      <w:hyperlink r:id="rId74">
        <w:r>
          <w:rPr>
            <w:rStyle w:val="Hyperlink"/>
          </w:rPr>
          <w:t xml:space="preserve">https://doi.org/10.1111/jiec.12715</w:t>
        </w:r>
      </w:hyperlink>
    </w:p>
    <w:bookmarkEnd w:id="75"/>
    <w:bookmarkStart w:id="77"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76">
        <w:r>
          <w:rPr>
            <w:rStyle w:val="Hyperlink"/>
          </w:rPr>
          <w:t xml:space="preserve">https://doi.org/10.1111/jiec.12405</w:t>
        </w:r>
      </w:hyperlink>
    </w:p>
    <w:bookmarkEnd w:id="77"/>
    <w:bookmarkStart w:id="79"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78">
        <w:r>
          <w:rPr>
            <w:rStyle w:val="Hyperlink"/>
          </w:rPr>
          <w:t xml:space="preserve">https://doi.org/10.1016/j.ecolecon.2007.09.021</w:t>
        </w:r>
      </w:hyperlink>
    </w:p>
    <w:bookmarkEnd w:id="79"/>
    <w:bookmarkStart w:id="81" w:name="ref-werner_international_2017"/>
    <w:p>
      <w:pPr>
        <w:pStyle w:val="Bibliography"/>
      </w:pPr>
      <w:r>
        <w:t xml:space="preserve">Werner, S., 2017. International review of district heating and cooling. Energy 137, 617–631.</w:t>
      </w:r>
      <w:r>
        <w:t xml:space="preserve"> </w:t>
      </w:r>
      <w:hyperlink r:id="rId80">
        <w:r>
          <w:rPr>
            <w:rStyle w:val="Hyperlink"/>
          </w:rPr>
          <w:t xml:space="preserve">https://doi.org/10.1016/j.energy.2017.04.045</w:t>
        </w:r>
      </w:hyperlink>
    </w:p>
    <w:bookmarkEnd w:id="81"/>
    <w:bookmarkStart w:id="82" w:name="ref-wiedenhofer_unequal_2017"/>
    <w:p>
      <w:pPr>
        <w:pStyle w:val="Bibliography"/>
      </w:pPr>
      <w:r>
        <w:t xml:space="preserve">Wiedenhofer, D., Guan, D., Liu, Z., Meng, J., Zhang, N., Wei, Y.-M., 2017. Unequal household carbon footprints in China. Nature Climate Change 7, 75–80.</w:t>
      </w:r>
    </w:p>
    <w:bookmarkEnd w:id="82"/>
    <w:bookmarkStart w:id="83" w:name="ref-woodward_incrementum_2015"/>
    <w:p>
      <w:pPr>
        <w:pStyle w:val="Bibliography"/>
      </w:pPr>
      <w:r>
        <w:t xml:space="preserve">Woodward, D., 2015. Incrementum ad Absurdum: Global Growth, Inequality and Poverty Eradication in a Carbon-Constrained World. World Social and Economic Review 2015, 43.</w:t>
      </w:r>
    </w:p>
    <w:bookmarkEnd w:id="83"/>
    <w:bookmarkEnd w:id="84"/>
    <w:p>
      <w:r>
        <w:br w:type="page"/>
      </w:r>
    </w:p>
    <w:p>
      <w:pPr>
        <w:pStyle w:val="Heading3"/>
      </w:pPr>
      <w:bookmarkStart w:id="85" w:name="colophon"/>
      <w:r>
        <w:t xml:space="preserve">Colophon</w:t>
      </w:r>
      <w:bookmarkEnd w:id="85"/>
    </w:p>
    <w:p>
      <w:pPr>
        <w:pStyle w:val="FirstParagraph"/>
      </w:pPr>
      <w:r>
        <w:t xml:space="preserve">This report was generated on 2021-01-22 14:14:46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[5257142] 2021-01-22: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3" Target="https://doi.org/10.1007/s40974-017-0072-9" TargetMode="External" /><Relationship Type="http://schemas.openxmlformats.org/officeDocument/2006/relationships/hyperlink" Id="rId78"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6" Target="https://doi.org/10.1016/j.eneco.2012.07.025" TargetMode="External" /><Relationship Type="http://schemas.openxmlformats.org/officeDocument/2006/relationships/hyperlink" Id="rId80" Target="https://doi.org/10.1016/j.energy.2017.04.045" TargetMode="External" /><Relationship Type="http://schemas.openxmlformats.org/officeDocument/2006/relationships/hyperlink" Id="rId40" Target="https://doi.org/10.1016/j.energy.2018.12.120" TargetMode="External" /><Relationship Type="http://schemas.openxmlformats.org/officeDocument/2006/relationships/hyperlink" Id="rId70" Target="https://doi.org/10.1016/j.gloenvcha.2016.05.009" TargetMode="External" /><Relationship Type="http://schemas.openxmlformats.org/officeDocument/2006/relationships/hyperlink" Id="rId65" Target="https://doi.org/10.1016/j.gloenvcha.2020.102168" TargetMode="External" /><Relationship Type="http://schemas.openxmlformats.org/officeDocument/2006/relationships/hyperlink" Id="rId61" Target="https://doi.org/10.1017/sus.2020.12" TargetMode="External" /><Relationship Type="http://schemas.openxmlformats.org/officeDocument/2006/relationships/hyperlink" Id="rId55"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7" Target="https://doi.org/10.1038/s41560-020-0579-8" TargetMode="External" /><Relationship Type="http://schemas.openxmlformats.org/officeDocument/2006/relationships/hyperlink" Id="rId57" Target="https://doi.org/10.1088/1748-9326/ab8589" TargetMode="External" /><Relationship Type="http://schemas.openxmlformats.org/officeDocument/2006/relationships/hyperlink" Id="rId59" Target="https://doi.org/10.1111/jiec.12371" TargetMode="External" /><Relationship Type="http://schemas.openxmlformats.org/officeDocument/2006/relationships/hyperlink" Id="rId76" Target="https://doi.org/10.1111/jiec.12405" TargetMode="External" /><Relationship Type="http://schemas.openxmlformats.org/officeDocument/2006/relationships/hyperlink" Id="rId74" Target="https://doi.org/10.1111/jiec.12715" TargetMode="External" /><Relationship Type="http://schemas.openxmlformats.org/officeDocument/2006/relationships/hyperlink" Id="rId51" Target="https://doi.org/10.1111/jiec.13045" TargetMode="External" /><Relationship Type="http://schemas.openxmlformats.org/officeDocument/2006/relationships/hyperlink" Id="rId4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3" Target="https://doi.org/10.1007/s40974-017-0072-9" TargetMode="External" /><Relationship Type="http://schemas.openxmlformats.org/officeDocument/2006/relationships/hyperlink" Id="rId78"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6" Target="https://doi.org/10.1016/j.eneco.2012.07.025" TargetMode="External" /><Relationship Type="http://schemas.openxmlformats.org/officeDocument/2006/relationships/hyperlink" Id="rId80" Target="https://doi.org/10.1016/j.energy.2017.04.045" TargetMode="External" /><Relationship Type="http://schemas.openxmlformats.org/officeDocument/2006/relationships/hyperlink" Id="rId40" Target="https://doi.org/10.1016/j.energy.2018.12.120" TargetMode="External" /><Relationship Type="http://schemas.openxmlformats.org/officeDocument/2006/relationships/hyperlink" Id="rId70" Target="https://doi.org/10.1016/j.gloenvcha.2016.05.009" TargetMode="External" /><Relationship Type="http://schemas.openxmlformats.org/officeDocument/2006/relationships/hyperlink" Id="rId65" Target="https://doi.org/10.1016/j.gloenvcha.2020.102168" TargetMode="External" /><Relationship Type="http://schemas.openxmlformats.org/officeDocument/2006/relationships/hyperlink" Id="rId61" Target="https://doi.org/10.1017/sus.2020.12" TargetMode="External" /><Relationship Type="http://schemas.openxmlformats.org/officeDocument/2006/relationships/hyperlink" Id="rId55" Target="https://doi.org/10.1038/s41467-017-00919-4" TargetMode="External" /><Relationship Type="http://schemas.openxmlformats.org/officeDocument/2006/relationships/hyperlink" Id="rId42" Target="https://doi.org/10.1038/s41558-018-0121-1" TargetMode="External" /><Relationship Type="http://schemas.openxmlformats.org/officeDocument/2006/relationships/hyperlink" Id="rId67" Target="https://doi.org/10.1038/s41560-020-0579-8" TargetMode="External" /><Relationship Type="http://schemas.openxmlformats.org/officeDocument/2006/relationships/hyperlink" Id="rId57" Target="https://doi.org/10.1088/1748-9326/ab8589" TargetMode="External" /><Relationship Type="http://schemas.openxmlformats.org/officeDocument/2006/relationships/hyperlink" Id="rId59" Target="https://doi.org/10.1111/jiec.12371" TargetMode="External" /><Relationship Type="http://schemas.openxmlformats.org/officeDocument/2006/relationships/hyperlink" Id="rId76" Target="https://doi.org/10.1111/jiec.12405" TargetMode="External" /><Relationship Type="http://schemas.openxmlformats.org/officeDocument/2006/relationships/hyperlink" Id="rId74" Target="https://doi.org/10.1111/jiec.12715" TargetMode="External" /><Relationship Type="http://schemas.openxmlformats.org/officeDocument/2006/relationships/hyperlink" Id="rId51" Target="https://doi.org/10.1111/jiec.13045" TargetMode="External" /><Relationship Type="http://schemas.openxmlformats.org/officeDocument/2006/relationships/hyperlink" Id="rId4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2021-01-22T13:14:53Z</dcterms:created>
  <dcterms:modified xsi:type="dcterms:W3CDTF">2021-01-22T13:14:53Z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22 Januar, 2021</vt:lpwstr>
  </property>
  <property fmtid="{D5CDD505-2E9C-101B-9397-08002B2CF9AE}" pid="6" name="highlights">
    <vt:lpwstr>These are the highlights.</vt:lpwstr>
  </property>
  <property fmtid="{D5CDD505-2E9C-101B-9397-08002B2CF9AE}" pid="7" name="output">
    <vt:lpwstr/>
  </property>
</Properties>
</file>