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5.04 trn€, the energy footprint 102.72 EJ, and the carbon footprint 4365.75 MtCO2eq. We estimated the 10:10 ratios at 12.3 for expenditure, 5.2 for the energy footprint, and 3.6 for the carbon footprint. Total expenditure ranged from 0.1 trn€ to 1.2 trn€ (or 2830€ to 3.49</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5.65 trn€, the energy footprint 97.57 EJ, and the carbon footprint 4090.57 MtCO2eq. We estimated the 10:10 ratios at 7.5 for expenditure, 3.6 for the energy footprint, and 2.8 for the carbon footprint. Total expenditure ranged from 0.2 trn€ to 1.1 trn€ (or 4693€ to 3.53</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5.58 trn€, the energy footprint 94.61 EJ, and the GHG footprint 3957.47 MtCO2eq. We estimated the 10:10 ratios at 7.5 for expenditure, 4.1 for the energy footprint, and 3.3 for the carbon footprint. Total expenditure ranged from 0.2 trn€ to 1.1 trn€ (or 4634€ to 3.48</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2021-01-28T17:36:58Z</dcterms:created>
  <dcterms:modified xsi:type="dcterms:W3CDTF">2021-01-28T17:36:58Z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