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We explore for 28 European countries the corridor of possible distributions of household energy and carbon footprints that meet the minimum energy requirements for a decent life, but do not exceed the maximum energy supply compatible with achieving the 1.5°C target in 2050. We estimated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top-to-bottom decile ratios (10:10) of 7.2 for expenditure, 3.5 for energy and 2.6 for carbon. The lower footprint ratios can be attributed to the fact that higher consumption in the top deciles is offset by very inefficient energy and heating technologies, especially in the four lowest deciles (mostly Eastern Europe). Adopting best technology across all European expenditure deciles would save 19 EJ per year and align energy and carbon footprint inequality with expenditure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life and no CCS deployment is assumed, the mathematical possible inequality to also achieve the 1.5°C target becomes practically zero. We conclude that for Europe and the eurozone, combining the goals of providing enough energy for a decent life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somewhere below 100 GJ per capita</w:t>
      </w:r>
      <w:r>
        <w:t xml:space="preserve"> </w:t>
      </w:r>
      <w:r>
        <w:t xml:space="preserve">(1)</w:t>
      </w:r>
      <w:r>
        <w:t xml:space="preserve"> </w:t>
      </w:r>
      <w:r>
        <w:t xml:space="preserve">(2)</w:t>
      </w:r>
      <w:r>
        <w:t xml:space="preserve"> </w:t>
      </w:r>
      <w:r>
        <w:t xml:space="preserve">(4)</w:t>
      </w:r>
      <w:r>
        <w:t xml:space="preserve">, and below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(version3.7,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(18)</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(18)</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w:t>
      </w:r>
      <w:r>
        <w:t xml:space="preserve"> </w:t>
      </w:r>
      <w:r>
        <w:rPr>
          <w:b/>
        </w:rPr>
        <w:t xml:space="preserve">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w:t>
      </w:r>
      <w:r>
        <w:t xml:space="preserve"> </w:t>
      </w:r>
      <w:r>
        <w:rPr>
          <w:b/>
        </w:rPr>
        <w:t xml:space="preserve">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(23)</w:t>
      </w:r>
      <w:r>
        <w:t xml:space="preserve"> </w:t>
      </w:r>
      <w:r>
        <w:t xml:space="preserve">(24)</w:t>
      </w:r>
      <w:r>
        <w:t xml:space="preserve"> </w:t>
      </w:r>
      <w:r>
        <w:t xml:space="preserve">(25)</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w:t>
      </w:r>
      <w:r>
        <w:t xml:space="preserve"> </w:t>
      </w:r>
      <w:r>
        <w:rPr>
          <w:b/>
        </w:rPr>
        <w:t xml:space="preserve">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from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b/>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(18)</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(18)</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w:t>
      </w:r>
      <w:r>
        <w:t xml:space="preserve"> </w:t>
      </w:r>
      <w:r>
        <w:rPr>
          <w:b/>
        </w:rPr>
        <w:t xml:space="preserve">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w:t>
      </w:r>
      <w:r>
        <w:t xml:space="preserve">(31)</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(32)</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w:t>
      </w:r>
      <w:r>
        <w:t xml:space="preserve"> </w:t>
      </w:r>
      <w:r>
        <w:rPr>
          <w:b/>
        </w:rPr>
        <w:t xml:space="preserve">Average energy available for Europe in decarbonisation scenarios, positioned in corridor between a range of minimum energy requirements and a range of associated maximum inequality.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w:t>
      </w:r>
      <w:r>
        <w:t xml:space="preserve">(34)</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(35)</w:t>
      </w:r>
      <w:r>
        <w:t xml:space="preserve">.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(36)</w:t>
      </w:r>
      <w:r>
        <w:t xml:space="preserve">. In addition, other distribution and transfer instruments</w:t>
      </w:r>
      <w:r>
        <w:t xml:space="preserve"> </w:t>
      </w:r>
      <w:r>
        <w:t xml:space="preserve">(37)</w:t>
      </w:r>
      <w:r>
        <w:t xml:space="preserve">, such as wealth and inheritance taxes, or more progressive income taxes</w:t>
      </w:r>
      <w:r>
        <w:t xml:space="preserve"> </w:t>
      </w:r>
      <w:r>
        <w:t xml:space="preserve">(38)</w:t>
      </w:r>
      <w:r>
        <w:t xml:space="preserve">, will have to be discussed in order to reduce the large differences in purchasing power within and between the countries of Europe,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(19)</w:t>
      </w:r>
      <w:r>
        <w:t xml:space="preserve"> </w:t>
      </w:r>
      <w:r>
        <w:t xml:space="preserve">(44)</w:t>
      </w:r>
      <w:r>
        <w:t xml:space="preserve"> </w:t>
      </w:r>
      <w:r>
        <w:t xml:space="preserve">(45)</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34"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european_parliament_ecbs_2020"/>
    <w:p>
      <w:pPr>
        <w:pStyle w:val="Bibliography"/>
      </w:pPr>
      <w:r>
        <w:t xml:space="preserve">35.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114"/>
    <w:bookmarkStart w:id="116" w:name="ref-klenert_making_2018"/>
    <w:p>
      <w:pPr>
        <w:pStyle w:val="Bibliography"/>
      </w:pPr>
      <w:r>
        <w:t xml:space="preserve">36. Klenert D, Mattauch L, Combet E, Edenhofer O, Hepburn C, Rafaty R, et al. Making carbon pricing work for citizens. Nature Climate Change [Internet]. 2018 Aug [cited 2021 Feb 17];8(8):669–77. Available from:</w:t>
      </w:r>
      <w:r>
        <w:t xml:space="preserve"> </w:t>
      </w:r>
      <w:hyperlink r:id="rId115">
        <w:r>
          <w:rPr>
            <w:rStyle w:val="Hyperlink"/>
          </w:rPr>
          <w:t xml:space="preserve">https://www.nature.com/articles/s41558-018-0201-2</w:t>
        </w:r>
      </w:hyperlink>
    </w:p>
    <w:bookmarkEnd w:id="116"/>
    <w:bookmarkStart w:id="118"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7">
        <w:r>
          <w:rPr>
            <w:rStyle w:val="Hyperlink"/>
          </w:rPr>
          <w:t xml:space="preserve">https://royalsocietypublishing.org/doi/full/10.1098/rsta.2016.0379</w:t>
        </w:r>
      </w:hyperlink>
    </w:p>
    <w:bookmarkEnd w:id="118"/>
    <w:bookmarkStart w:id="119" w:name="ref-piketty_carbon_2015"/>
    <w:p>
      <w:pPr>
        <w:pStyle w:val="Bibliography"/>
      </w:pPr>
      <w:r>
        <w:t xml:space="preserve">38. Piketty T, Chancel L. Carbon and inequality: From Kyoto to Paris. Paris Sch Econ (www parisschoolofeconomics eu/en/news/carbon-and-inequality-from-kyoto-to-parischancel-piketty/). 2015;</w:t>
      </w:r>
      <w:r>
        <w:t xml:space="preserve"> </w:t>
      </w:r>
    </w:p>
    <w:bookmarkEnd w:id="119"/>
    <w:bookmarkStart w:id="121" w:name="ref-haberl_systematic_2020"/>
    <w:p>
      <w:pPr>
        <w:pStyle w:val="Bibliography"/>
      </w:pPr>
      <w:r>
        <w:t xml:space="preserve">39.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20">
        <w:r>
          <w:rPr>
            <w:rStyle w:val="Hyperlink"/>
          </w:rPr>
          <w:t xml:space="preserve">http://iopscience.iop.org/10.1088/1748-9326/ab842a</w:t>
        </w:r>
      </w:hyperlink>
    </w:p>
    <w:bookmarkEnd w:id="121"/>
    <w:bookmarkStart w:id="123" w:name="ref-dalessandro_feasible_2020"/>
    <w:p>
      <w:pPr>
        <w:pStyle w:val="Bibliography"/>
      </w:pPr>
      <w:r>
        <w:t xml:space="preserve">40. D’Alessandro S, Cieplinski A, Distefano T, Dittmer K. Feasible alternatives to green growth. Nature Sustainability [Internet]. 2020 Apr [cited 2021 Feb 17];3(4):329–35. Available from:</w:t>
      </w:r>
      <w:r>
        <w:t xml:space="preserve"> </w:t>
      </w:r>
      <w:hyperlink r:id="rId122">
        <w:r>
          <w:rPr>
            <w:rStyle w:val="Hyperlink"/>
          </w:rPr>
          <w:t xml:space="preserve">https://www.nature.com/articles/s41893-020-0484-y</w:t>
        </w:r>
      </w:hyperlink>
    </w:p>
    <w:bookmarkEnd w:id="123"/>
    <w:bookmarkStart w:id="125" w:name="ref-hubacek_poverty_2017"/>
    <w:p>
      <w:pPr>
        <w:pStyle w:val="Bibliography"/>
      </w:pPr>
      <w:r>
        <w:t xml:space="preserve">41. Hubacek K, Baiocchi G, Feng K, Patwardhan A. Poverty eradication in a carbon constrained world. Nature Communications [Internet]. 2017 Oct [cited 2020 Apr 23];8(1):1–9. Available from:</w:t>
      </w:r>
      <w:r>
        <w:t xml:space="preserve"> </w:t>
      </w:r>
      <w:hyperlink r:id="rId124">
        <w:r>
          <w:rPr>
            <w:rStyle w:val="Hyperlink"/>
          </w:rPr>
          <w:t xml:space="preserve">https://www.nature.com/articles/s41467-017-00919-4</w:t>
        </w:r>
      </w:hyperlink>
    </w:p>
    <w:bookmarkEnd w:id="125"/>
    <w:bookmarkStart w:id="127" w:name="ref-woodward_incrementum_2015"/>
    <w:p>
      <w:pPr>
        <w:pStyle w:val="Bibliography"/>
      </w:pPr>
      <w:r>
        <w:t xml:space="preserve">42. Woodward D. Incrementum ad Absurdum: Global Growth, Inequality and Poverty Eradication in a Carbon-Constrained World. World Social and Economic Review [Internet]. 2015 Feb [cited 2019 Mar 5];2015(No 4, 2015):43. Available from:</w:t>
      </w:r>
      <w:r>
        <w:t xml:space="preserve"> </w:t>
      </w:r>
      <w:hyperlink r:id="rId126">
        <w:r>
          <w:rPr>
            <w:rStyle w:val="Hyperlink"/>
          </w:rPr>
          <w:t xml:space="preserve">http://wer.worldeconomicsassociation.org/papers/incrementum-ad-absurdum-global-growth-inequality-and-poverty-eradication-in-a-carbon-constrained-world/</w:t>
        </w:r>
      </w:hyperlink>
    </w:p>
    <w:bookmarkEnd w:id="127"/>
    <w:bookmarkStart w:id="129"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8">
        <w:r>
          <w:rPr>
            <w:rStyle w:val="Hyperlink"/>
          </w:rPr>
          <w:t xml:space="preserve">http://www.sciencedirect.com/science/article/pii/S0305750X20302436</w:t>
        </w:r>
      </w:hyperlink>
    </w:p>
    <w:bookmarkEnd w:id="129"/>
    <w:bookmarkStart w:id="131" w:name="ref-kartha_carbon_2020"/>
    <w:p>
      <w:pPr>
        <w:pStyle w:val="Bibliography"/>
      </w:pPr>
      <w:r>
        <w:t xml:space="preserve">44. Kartha S, Kemp-Benedict E, Ghosh E, Nazareth A. The Carbon Inequality Era. 2020 Sep [cited 2020 Sep 28]; Available from:</w:t>
      </w:r>
      <w:r>
        <w:t xml:space="preserve"> </w:t>
      </w:r>
      <w:hyperlink r:id="rId130">
        <w:r>
          <w:rPr>
            <w:rStyle w:val="Hyperlink"/>
          </w:rPr>
          <w:t xml:space="preserve">https://www.sei.org/publications/the-carbon-inequality-era/</w:t>
        </w:r>
      </w:hyperlink>
    </w:p>
    <w:bookmarkEnd w:id="131"/>
    <w:bookmarkStart w:id="133"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[Internet]. 2020 [cited 2020 Oct 15]; Available from:</w:t>
      </w:r>
      <w:r>
        <w:t xml:space="preserve"> </w:t>
      </w:r>
      <w:hyperlink r:id="rId132">
        <w:r>
          <w:rPr>
            <w:rStyle w:val="Hyperlink"/>
          </w:rPr>
          <w:t xml:space="preserve">http://iopscience.iop.org/10.1088/1748-9326/abc11f</w:t>
        </w:r>
      </w:hyperlink>
    </w:p>
    <w:bookmarkEnd w:id="133"/>
    <w:bookmarkEnd w:id="134"/>
    <w:p>
      <w:r>
        <w:br w:type="page"/>
      </w:r>
    </w:p>
    <w:p>
      <w:pPr>
        <w:pStyle w:val="Heading3"/>
      </w:pPr>
      <w:bookmarkStart w:id="135" w:name="colophon"/>
      <w:r>
        <w:t xml:space="preserve">Colophon</w:t>
      </w:r>
      <w:bookmarkEnd w:id="135"/>
    </w:p>
    <w:p>
      <w:pPr>
        <w:pStyle w:val="FirstParagraph"/>
      </w:pPr>
      <w:r>
        <w:t xml:space="preserve">This report was generated on 2021-02-17 19:28:47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[1e284f3] 2021-02-17: edit captions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20"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132" Target="http://iopscience.iop.org/10.1088/1748-9326/abc11f"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6"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8"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7"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24"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115" Target="https://www.nature.com/articles/s41558-018-0201-2"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122" Target="https://www.nature.com/articles/s41893-020-0484-y"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30"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2021-02-17T18:28:50Z</dcterms:created>
  <dcterms:modified xsi:type="dcterms:W3CDTF">2021-02-17T18:28:50Z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label">
    <vt:lpwstr/>
  </property>
  <property fmtid="{D5CDD505-2E9C-101B-9397-08002B2CF9AE}" pid="7" name="output">
    <vt:lpwstr/>
  </property>
</Properties>
</file>