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stratify their final demand expenditure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1"/>
          <w:ilvl w:val="0"/>
        </w:numPr>
      </w:pPr>
      <w:r>
        <w:t xml:space="preserve">EE-MRIO: EXIOBASE version3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mapping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have already been mapped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stratified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5a317650670242e320f8b269c838ae48be4f85a"/>
      <w:r>
        <w:t xml:space="preserve">Mapping between EXIOBASE and EUROSTAT HBS</w:t>
      </w:r>
      <w:bookmarkEnd w:id="32"/>
    </w:p>
    <w:p>
      <w:pPr>
        <w:pStyle w:val="FirstParagraph"/>
      </w:pPr>
      <w:r>
        <w:t xml:space="preserve">Table S4 shows which EUROSTAT HBS consumption category we mapped each EXIOBASE production sector to, along with our grouping of the EXIOBASE production sectors into the five aggregated final consumption categories we present in the main paper. The direct energy and carbon from households were mapped to: heating/cooling (HH_HEAT) was mapped to CP045, mobility (HH_TRA) was mapped to CP072, and other (HH_OTHER) to CP05, respectively.</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b/>
        </w:rPr>
        <w:t xml:space="preserve">Figure S1: Percentage of population in bottom 4 European expenditure deciles.</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d75558b19c1f4ada8a7ee00925afcbe8652b35"/>
      <w:r>
        <w:t xml:space="preserve">2005 using main method, EXIOBASE industry-by-industry</w:t>
      </w:r>
      <w:bookmarkEnd w:id="41"/>
    </w:p>
    <w:p>
      <w:pPr>
        <w:pStyle w:val="FirstParagraph"/>
      </w:pPr>
      <w:r>
        <w:t xml:space="preserve">In 2005, total household final demand expenditure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6d0fbaa5f45806da251547b50375281c1325abb"/>
      <w:r>
        <w:t xml:space="preserve">2010 using main method, EXIOBASE industry-by-industry</w:t>
      </w:r>
      <w:bookmarkEnd w:id="43"/>
    </w:p>
    <w:p>
      <w:pPr>
        <w:pStyle w:val="FirstParagraph"/>
      </w:pPr>
      <w:r>
        <w:t xml:space="preserve">In 2010, total household final demand expenditure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a524caf697d4adaad7fcac9faec7b6d79794f21"/>
      <w:r>
        <w:t xml:space="preserve">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94.6093687 EJ, and the carbon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b0ae8b1959b15b13866be8149136e915543cac5"/>
      <w:r>
        <w:t xml:space="preserve">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x-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CaptionedFigure"/>
      </w:pPr>
      <w:r>
        <w:drawing>
          <wp:inline>
            <wp:extent cx="5943600" cy="4669971"/>
            <wp:effectExtent b="0" l="0" r="0" t="0"/>
            <wp:docPr descr="Figure S7: Mean energy available for Europe in decarbonisation scenarios, positioned in option space between a range of minimum energy requirements and range of associated maximum inequality. All expenditure deciles have ‘best technology’ already. Unit of analysis is household GJ per capita. Final energy (in household GJ per capita in 2050) from two more SSP scenarios (which do not necessarily hit the 1.5°C target) are added from the IIASA scenario database (38) for comparison: SSP3-3.4 (MESSAGE-GLOBIOM, OECD), SSP4-1.9 (WITCH-GLOBIOM, OECD)." title="" id="1" name="Picture"/>
            <a:graphic>
              <a:graphicData uri="http://schemas.openxmlformats.org/drawingml/2006/picture">
                <pic:pic>
                  <pic:nvPicPr>
                    <pic:cNvPr descr="../figures/unnamed-chunk-8-1.png" id="0" name="Picture"/>
                    <pic:cNvPicPr>
                      <a:picLocks noChangeArrowheads="1" noChangeAspect="1"/>
                    </pic:cNvPicPr>
                  </pic:nvPicPr>
                  <pic:blipFill>
                    <a:blip r:embed="rId52"/>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S7: Mean energy available for Europe in decarbonisation scenarios, positioned in option space between a range of minimum energy requirements and range of associated maximum inequality. All expenditure deciles have</w:t>
      </w:r>
      <w:r>
        <w:rPr>
          <w:b/>
        </w:rPr>
        <w:t xml:space="preserve"> </w:t>
      </w:r>
      <w:r>
        <w:rPr>
          <w:b/>
        </w:rPr>
        <w:t xml:space="preserve">‘</w:t>
      </w:r>
      <w:r>
        <w:rPr>
          <w:b/>
        </w:rPr>
        <w:t xml:space="preserve">best technology</w:t>
      </w:r>
      <w:r>
        <w:rPr>
          <w:b/>
        </w:rPr>
        <w:t xml:space="preserve">’</w:t>
      </w:r>
      <w:r>
        <w:rPr>
          <w:b/>
        </w:rPr>
        <w:t xml:space="preserve"> </w:t>
      </w:r>
      <w:r>
        <w:rPr>
          <w:b/>
        </w:rPr>
        <w:t xml:space="preserve">already. Unit of analysis is household GJ per capita. Final energy (in household GJ per capita in 2050) from two more SSP scenarios (which do not necessarily hit the 1.5°C target) are added from the IIASA scenario database</w:t>
      </w:r>
      <w:r>
        <w:rPr>
          <w:b/>
        </w:rPr>
        <w:t xml:space="preserve"> </w:t>
      </w:r>
      <w:r>
        <w:rPr>
          <w:b/>
        </w:rPr>
        <w:t xml:space="preserve">(38)</w:t>
      </w:r>
      <w:r>
        <w:rPr>
          <w:b/>
        </w:rPr>
        <w:t xml:space="preserve"> </w:t>
      </w:r>
      <w:r>
        <w:rPr>
          <w:b/>
        </w:rPr>
        <w:t xml:space="preserve">for comparison: SSP3-3.4 (MESSAGE-GLOBIOM, OECD), SSP4-1.9 (WITCH-GLOBIOM, OECD).</w:t>
      </w:r>
    </w:p>
    <w:p>
      <w:r>
        <w:br w:type="page"/>
      </w:r>
    </w:p>
    <w:p>
      <w:pPr>
        <w:pStyle w:val="Heading1"/>
      </w:pPr>
      <w:bookmarkStart w:id="53" w:name="references"/>
      <w:r>
        <w:t xml:space="preserve">References</w:t>
      </w:r>
      <w:bookmarkEnd w:id="53"/>
    </w:p>
    <w:bookmarkStart w:id="126" w:name="refs"/>
    <w:bookmarkStart w:id="55"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4">
        <w:r>
          <w:rPr>
            <w:rStyle w:val="Hyperlink"/>
          </w:rPr>
          <w:t xml:space="preserve">https://onlinelibrary.wiley.com/doi/abs/10.1111/jiec.12715</w:t>
        </w:r>
      </w:hyperlink>
    </w:p>
    <w:bookmarkEnd w:id="55"/>
    <w:bookmarkStart w:id="56" w:name="ref-stadler_exiobase_2019"/>
    <w:p>
      <w:pPr>
        <w:pStyle w:val="Bibliography"/>
      </w:pPr>
      <w:r>
        <w:t xml:space="preserve">2. Stadler K, Wood R, Bulavskaya T, Södersten C-J, Simas M, Schmidt S, et al. EXIOBASE 3 [Internet]. Zenodo; 2019 [cited 2021 Jan 20]. Available from:</w:t>
      </w:r>
      <w:r>
        <w:t xml:space="preserve"> </w:t>
      </w:r>
      <w:hyperlink r:id="rId22">
        <w:r>
          <w:rPr>
            <w:rStyle w:val="Hyperlink"/>
          </w:rPr>
          <w:t xml:space="preserve">https://zenodo.org/record/3583071#.XjC7kSN4wpY</w:t>
        </w:r>
      </w:hyperlink>
    </w:p>
    <w:bookmarkEnd w:id="56"/>
    <w:bookmarkStart w:id="57" w:name="ref-eurostat_database_nodate"/>
    <w:p>
      <w:pPr>
        <w:pStyle w:val="Bibliography"/>
      </w:pPr>
      <w:r>
        <w:t xml:space="preserve">3. Eurostat. Database - Household budget surveys - Eurostat [Internet]. [cited 2021 Jan 20]. Available from:</w:t>
      </w:r>
      <w:r>
        <w:t xml:space="preserve"> </w:t>
      </w:r>
      <w:hyperlink r:id="rId23">
        <w:r>
          <w:rPr>
            <w:rStyle w:val="Hyperlink"/>
          </w:rPr>
          <w:t xml:space="preserve">https://ec.europa.eu/eurostat/web/household-budget-surveys/database</w:t>
        </w:r>
      </w:hyperlink>
    </w:p>
    <w:bookmarkEnd w:id="57"/>
    <w:bookmarkStart w:id="59"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8">
        <w:r>
          <w:rPr>
            <w:rStyle w:val="Hyperlink"/>
          </w:rPr>
          <w:t xml:space="preserve">https://www.R-project.org/</w:t>
        </w:r>
      </w:hyperlink>
    </w:p>
    <w:bookmarkEnd w:id="59"/>
    <w:bookmarkStart w:id="61"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60">
        <w:r>
          <w:rPr>
            <w:rStyle w:val="Hyperlink"/>
          </w:rPr>
          <w:t xml:space="preserve">https://joss.theoj.org/papers/10.21105/joss.01686</w:t>
        </w:r>
      </w:hyperlink>
    </w:p>
    <w:bookmarkEnd w:id="61"/>
    <w:bookmarkStart w:id="63"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2">
        <w:r>
          <w:rPr>
            <w:rStyle w:val="Hyperlink"/>
          </w:rPr>
          <w:t xml:space="preserve">https://CRAN.R-project.org/package=janitor</w:t>
        </w:r>
      </w:hyperlink>
    </w:p>
    <w:bookmarkEnd w:id="63"/>
    <w:bookmarkStart w:id="65" w:name="ref-muller_here:_2020"/>
    <w:p>
      <w:pPr>
        <w:pStyle w:val="Bibliography"/>
      </w:pPr>
      <w:r>
        <w:t xml:space="preserve">7. Müller K, Bryan J. Here: A Simpler Way to Find Your Files [Internet]. 2020 [cited 2021 Feb 1]. Available from:</w:t>
      </w:r>
      <w:r>
        <w:t xml:space="preserve"> </w:t>
      </w:r>
      <w:hyperlink r:id="rId64">
        <w:r>
          <w:rPr>
            <w:rStyle w:val="Hyperlink"/>
          </w:rPr>
          <w:t xml:space="preserve">https://CRAN.R-project.org/package=here</w:t>
        </w:r>
      </w:hyperlink>
    </w:p>
    <w:bookmarkEnd w:id="65"/>
    <w:bookmarkStart w:id="67"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6">
        <w:r>
          <w:rPr>
            <w:rStyle w:val="Hyperlink"/>
          </w:rPr>
          <w:t xml:space="preserve">https://CRAN.R-project.org/package=wbstats</w:t>
        </w:r>
      </w:hyperlink>
    </w:p>
    <w:bookmarkEnd w:id="67"/>
    <w:bookmarkStart w:id="69" w:name="ref-buchta_isocodes:_2020"/>
    <w:p>
      <w:pPr>
        <w:pStyle w:val="Bibliography"/>
      </w:pPr>
      <w:r>
        <w:t xml:space="preserve">9. Buchta C, Hornik [aut K, cre. ISOcodes: Selected ISO Codes [Internet]. 2020 [cited 2021 Feb 1]. Available from:</w:t>
      </w:r>
      <w:r>
        <w:t xml:space="preserve"> </w:t>
      </w:r>
      <w:hyperlink r:id="rId68">
        <w:r>
          <w:rPr>
            <w:rStyle w:val="Hyperlink"/>
          </w:rPr>
          <w:t xml:space="preserve">https://CRAN.R-project.org/package=ISOcodes</w:t>
        </w:r>
      </w:hyperlink>
    </w:p>
    <w:bookmarkEnd w:id="69"/>
    <w:bookmarkStart w:id="71" w:name="ref-garnier_viridis:_2018"/>
    <w:p>
      <w:pPr>
        <w:pStyle w:val="Bibliography"/>
      </w:pPr>
      <w:r>
        <w:t xml:space="preserve">10. Garnier S, Ross N, Rudis B, Sciaini M, Scherer C. Viridis: Default Color Maps from ’matplotlib’ [Internet]. 2018 [cited 2021 Feb 1]. Available from:</w:t>
      </w:r>
      <w:r>
        <w:t xml:space="preserve"> </w:t>
      </w:r>
      <w:hyperlink r:id="rId70">
        <w:r>
          <w:rPr>
            <w:rStyle w:val="Hyperlink"/>
          </w:rPr>
          <w:t xml:space="preserve">https://CRAN.R-project.org/package=viridis</w:t>
        </w:r>
      </w:hyperlink>
    </w:p>
    <w:bookmarkEnd w:id="71"/>
    <w:bookmarkStart w:id="73"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2">
        <w:r>
          <w:rPr>
            <w:rStyle w:val="Hyperlink"/>
          </w:rPr>
          <w:t xml:space="preserve">https://CRAN.R-project.org/package=hrbrthemes</w:t>
        </w:r>
      </w:hyperlink>
    </w:p>
    <w:bookmarkEnd w:id="73"/>
    <w:bookmarkStart w:id="75" w:name="ref-ram_wesanderson:_2018"/>
    <w:p>
      <w:pPr>
        <w:pStyle w:val="Bibliography"/>
      </w:pPr>
      <w:r>
        <w:t xml:space="preserve">12. Ram K, Wickham H, Richards C, Baggett A. Wesanderson: A Wes Anderson Palette Generator [Internet]. 2018 [cited 2021 Feb 1]. Available from:</w:t>
      </w:r>
      <w:r>
        <w:t xml:space="preserve"> </w:t>
      </w:r>
      <w:hyperlink r:id="rId74">
        <w:r>
          <w:rPr>
            <w:rStyle w:val="Hyperlink"/>
          </w:rPr>
          <w:t xml:space="preserve">https://CRAN.R-project.org/package=wesanderson</w:t>
        </w:r>
      </w:hyperlink>
    </w:p>
    <w:bookmarkEnd w:id="75"/>
    <w:bookmarkStart w:id="77" w:name="ref-hester_glue:_2020"/>
    <w:p>
      <w:pPr>
        <w:pStyle w:val="Bibliography"/>
      </w:pPr>
      <w:r>
        <w:t xml:space="preserve">13. Hester J. Glue: Interpreted String Literals [Internet]. 2020 [cited 2021 Feb 1]. Available from:</w:t>
      </w:r>
      <w:r>
        <w:t xml:space="preserve"> </w:t>
      </w:r>
      <w:hyperlink r:id="rId76">
        <w:r>
          <w:rPr>
            <w:rStyle w:val="Hyperlink"/>
          </w:rPr>
          <w:t xml:space="preserve">https://CRAN.R-project.org/package=glue</w:t>
        </w:r>
      </w:hyperlink>
    </w:p>
    <w:bookmarkEnd w:id="77"/>
    <w:bookmarkStart w:id="79" w:name="ref-wilke_ggridges:_2021"/>
    <w:p>
      <w:pPr>
        <w:pStyle w:val="Bibliography"/>
      </w:pPr>
      <w:r>
        <w:t xml:space="preserve">14. Wilke CO. Ggridges: Ridgeline Plots in ’ggplot2’ [Internet]. 2021 [cited 2021 Feb 1]. Available from:</w:t>
      </w:r>
      <w:r>
        <w:t xml:space="preserve"> </w:t>
      </w:r>
      <w:hyperlink r:id="rId78">
        <w:r>
          <w:rPr>
            <w:rStyle w:val="Hyperlink"/>
          </w:rPr>
          <w:t xml:space="preserve">https://CRAN.R-project.org/package=ggridges</w:t>
        </w:r>
      </w:hyperlink>
    </w:p>
    <w:bookmarkEnd w:id="79"/>
    <w:bookmarkStart w:id="81" w:name="ref-pedersen_patchwork:_2020"/>
    <w:p>
      <w:pPr>
        <w:pStyle w:val="Bibliography"/>
      </w:pPr>
      <w:r>
        <w:t xml:space="preserve">15. Pedersen TL. Patchwork: The Composer of Plots [Internet]. 2020 [cited 2021 Feb 1]. Available from:</w:t>
      </w:r>
      <w:r>
        <w:t xml:space="preserve"> </w:t>
      </w:r>
      <w:hyperlink r:id="rId80">
        <w:r>
          <w:rPr>
            <w:rStyle w:val="Hyperlink"/>
          </w:rPr>
          <w:t xml:space="preserve">https://CRAN.R-project.org/package=patchwork</w:t>
        </w:r>
      </w:hyperlink>
    </w:p>
    <w:bookmarkEnd w:id="81"/>
    <w:bookmarkStart w:id="83"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2">
        <w:r>
          <w:rPr>
            <w:rStyle w:val="Hyperlink"/>
          </w:rPr>
          <w:t xml:space="preserve">https://CRAN.R-project.org/package=kableExtra</w:t>
        </w:r>
      </w:hyperlink>
    </w:p>
    <w:bookmarkEnd w:id="83"/>
    <w:bookmarkStart w:id="85"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4">
        <w:r>
          <w:rPr>
            <w:rStyle w:val="Hyperlink"/>
          </w:rPr>
          <w:t xml:space="preserve">https://CRAN.R-project.org/package=readxl</w:t>
        </w:r>
      </w:hyperlink>
    </w:p>
    <w:bookmarkEnd w:id="85"/>
    <w:bookmarkStart w:id="87"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6">
        <w:r>
          <w:rPr>
            <w:rStyle w:val="Hyperlink"/>
          </w:rPr>
          <w:t xml:space="preserve">https://CRAN.R-project.org/package=flextable</w:t>
        </w:r>
      </w:hyperlink>
    </w:p>
    <w:bookmarkEnd w:id="87"/>
    <w:bookmarkStart w:id="89" w:name="ref-south_rworldmap:_2016"/>
    <w:p>
      <w:pPr>
        <w:pStyle w:val="Bibliography"/>
      </w:pPr>
      <w:r>
        <w:t xml:space="preserve">19. South A. Rworldmap: Mapping Global Data [Internet]. 2016 [cited 2021 Feb 1]. Available from:</w:t>
      </w:r>
      <w:r>
        <w:t xml:space="preserve"> </w:t>
      </w:r>
      <w:hyperlink r:id="rId88">
        <w:r>
          <w:rPr>
            <w:rStyle w:val="Hyperlink"/>
          </w:rPr>
          <w:t xml:space="preserve">https://CRAN.R-project.org/package=rworldmap</w:t>
        </w:r>
      </w:hyperlink>
    </w:p>
    <w:bookmarkEnd w:id="89"/>
    <w:bookmarkStart w:id="91"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90">
        <w:r>
          <w:rPr>
            <w:rStyle w:val="Hyperlink"/>
          </w:rPr>
          <w:t xml:space="preserve">https://CRAN.R-project.org/package=ggthemes</w:t>
        </w:r>
      </w:hyperlink>
    </w:p>
    <w:bookmarkEnd w:id="91"/>
    <w:bookmarkStart w:id="92" w:name="ref-miller_input-output_1985"/>
    <w:p>
      <w:pPr>
        <w:pStyle w:val="Bibliography"/>
      </w:pPr>
      <w:r>
        <w:t xml:space="preserve">21. Miller RE, Blair PD. Input-output analysis: Foundations and extensions. Englewood Cliffs, N.J: Prentice-Hall; 1985.</w:t>
      </w:r>
      <w:r>
        <w:t xml:space="preserve"> </w:t>
      </w:r>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2015.</w:t>
      </w:r>
      <w:r>
        <w:t xml:space="preserve"> </w:t>
      </w:r>
    </w:p>
    <w:bookmarkEnd w:id="94"/>
    <w:bookmarkStart w:id="95" w:name="ref-eurostat_eurostat_2020"/>
    <w:p>
      <w:pPr>
        <w:pStyle w:val="Bibliography"/>
      </w:pPr>
      <w:r>
        <w:t xml:space="preserve">24. Eurostat. Eurostat - Data Explorer - Energy supply and use by NACE Rev. 2 activity [Internet]. 2020 [cited 2020 Aug 11]. Available from:</w:t>
      </w:r>
      <w:r>
        <w:t xml:space="preserve"> </w:t>
      </w:r>
      <w:hyperlink r:id="rId27">
        <w:r>
          <w:rPr>
            <w:rStyle w:val="Hyperlink"/>
          </w:rPr>
          <w:t xml:space="preserve">http://appsso.eurostat.ec.europa.eu/nui/show.do?dataset=env_ac_pefasu</w:t>
        </w:r>
      </w:hyperlink>
    </w:p>
    <w:bookmarkEnd w:id="95"/>
    <w:bookmarkStart w:id="96" w:name="ref-eurostat_eurostat_nodate"/>
    <w:p>
      <w:pPr>
        <w:pStyle w:val="Bibliography"/>
      </w:pPr>
      <w:r>
        <w:t xml:space="preserve">25. Eurostat. Eurostat - Data Explorer - Air emissions accounts by NACE Rev. 2 activity [Internet]. [cited 2021 Jan 20].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eurostat_eu_2020"/>
    <w:p>
      <w:pPr>
        <w:pStyle w:val="Bibliography"/>
      </w:pPr>
      <w:r>
        <w:t xml:space="preserve">29.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8" w:name="ref-ivanova_unequal_2020"/>
    <w:p>
      <w:pPr>
        <w:pStyle w:val="Bibliography"/>
      </w:pPr>
      <w:r>
        <w:t xml:space="preserve">31. Ivanova D, Wood R. The unequal distribution of household carbon footprints in Europe and its link to sustainability. Global Sustainability [Internet]. 2020 [cited 2020 Jul 7];3. Available from:</w:t>
      </w:r>
      <w:r>
        <w:t xml:space="preserve"> </w:t>
      </w:r>
      <w:hyperlink r:id="rId107">
        <w:r>
          <w:rPr>
            <w:rStyle w:val="Hyperlink"/>
          </w:rPr>
          <w:t xml:space="preserve">https://www.cambridge.org/core/journals/global-sustainability/article/unequal-distribution-of-household-carbon-footprints-in-europe-and-its-link-to-sustainability/F1ED4F705AF1C6C1FCAD477398353DC2</w:t>
        </w:r>
      </w:hyperlink>
    </w:p>
    <w:bookmarkEnd w:id="108"/>
    <w:bookmarkStart w:id="110" w:name="ref-gore_t._confronting_2020"/>
    <w:p>
      <w:pPr>
        <w:pStyle w:val="Bibliography"/>
      </w:pPr>
      <w:r>
        <w:t xml:space="preserve">32. Gore, T., Alestig, M. Confronting carbon inequality in the European Union [Internet]. 2020 [cited 2021 Jan 21]. Available from:</w:t>
      </w:r>
      <w:r>
        <w:t xml:space="preserve"> </w:t>
      </w:r>
      <w:hyperlink r:id="rId109">
        <w:r>
          <w:rPr>
            <w:rStyle w:val="Hyperlink"/>
          </w:rPr>
          <w:t xml:space="preserve">https://www.oxfam.org/en/research/confronting-carbon-inequality-european-union</w:t>
        </w:r>
      </w:hyperlink>
    </w:p>
    <w:bookmarkEnd w:id="110"/>
    <w:bookmarkStart w:id="112" w:name="ref-sommer_carbon_2017"/>
    <w:p>
      <w:pPr>
        <w:pStyle w:val="Bibliography"/>
      </w:pPr>
      <w:r>
        <w:t xml:space="preserve">33. Sommer M, Kratena K. The Carbon Footprint of European Households and Income Distribution. Ecological Economics [Internet]. 2017 [cited 2020 Aug 12];136(C):62–72. Available from:</w:t>
      </w:r>
      <w:r>
        <w:t xml:space="preserve"> </w:t>
      </w:r>
      <w:hyperlink r:id="rId111">
        <w:r>
          <w:rPr>
            <w:rStyle w:val="Hyperlink"/>
          </w:rPr>
          <w:t xml:space="preserve">https://econpapers.repec.org/article/eeeecolec/v_3a136_3ay_3a2017_3ai_3ac_3ap_3a62-72.htm</w:t>
        </w:r>
      </w:hyperlink>
    </w:p>
    <w:bookmarkEnd w:id="112"/>
    <w:bookmarkStart w:id="114" w:name="ref-bianco_understanding_2019"/>
    <w:p>
      <w:pPr>
        <w:pStyle w:val="Bibliography"/>
      </w:pPr>
      <w:r>
        <w:t xml:space="preserve">34. Bianco V, Cascetta F, Marino A, Nardini S. Understanding energy consumption and carbon emissions in Europe: A focus on inequality issues. Energy [Internet]. 2019 Mar [cited 2020 Sep 28];170:120–30. Available from:</w:t>
      </w:r>
      <w:r>
        <w:t xml:space="preserve"> </w:t>
      </w:r>
      <w:hyperlink r:id="rId113">
        <w:r>
          <w:rPr>
            <w:rStyle w:val="Hyperlink"/>
          </w:rPr>
          <w:t xml:space="preserve">http://www.sciencedirect.com/science/article/pii/S0360544218324927</w:t>
        </w:r>
      </w:hyperlink>
    </w:p>
    <w:bookmarkEnd w:id="114"/>
    <w:bookmarkStart w:id="116" w:name="ref-sovacool_reviewing_2017"/>
    <w:p>
      <w:pPr>
        <w:pStyle w:val="Bibliography"/>
      </w:pPr>
      <w:r>
        <w:t xml:space="preserve">35. Sovacool BK. Reviewing, Reforming, and Rethinking Global Energy Subsidies: Towards a Political Economy Research Agenda. Ecological Economics [Internet]. 2017 May [cited 2021 Feb 12];135:150–63. Available from:</w:t>
      </w:r>
      <w:r>
        <w:t xml:space="preserve"> </w:t>
      </w:r>
      <w:hyperlink r:id="rId115">
        <w:r>
          <w:rPr>
            <w:rStyle w:val="Hyperlink"/>
          </w:rPr>
          <w:t xml:space="preserve">https://www.sciencedirect.com/science/article/pii/S0921800916303494</w:t>
        </w:r>
      </w:hyperlink>
    </w:p>
    <w:bookmarkEnd w:id="116"/>
    <w:bookmarkStart w:id="117" w:name="ref-oecd_sut_nodate"/>
    <w:p>
      <w:pPr>
        <w:pStyle w:val="Bibliography"/>
      </w:pPr>
      <w:r>
        <w:t xml:space="preserve">36.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17"/>
    <w:bookmarkStart w:id="119"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8">
        <w:r>
          <w:rPr>
            <w:rStyle w:val="Hyperlink"/>
          </w:rPr>
          <w:t xml:space="preserve">https://rdcu.be/SOJx</w:t>
        </w:r>
      </w:hyperlink>
    </w:p>
    <w:bookmarkEnd w:id="119"/>
    <w:bookmarkStart w:id="12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[Internet]. 2017 Jan [cited 2021 Jan 20];42:153–68. Available from:</w:t>
      </w:r>
      <w:r>
        <w:t xml:space="preserve"> </w:t>
      </w:r>
      <w:hyperlink r:id="rId120">
        <w:r>
          <w:rPr>
            <w:rStyle w:val="Hyperlink"/>
          </w:rPr>
          <w:t xml:space="preserve">http://www.sciencedirect.com/science/article/pii/S0959378016300681</w:t>
        </w:r>
      </w:hyperlink>
    </w:p>
    <w:bookmarkEnd w:id="121"/>
    <w:bookmarkStart w:id="123" w:name="ref-gea_gea_nodate"/>
    <w:p>
      <w:pPr>
        <w:pStyle w:val="Bibliography"/>
      </w:pPr>
      <w:r>
        <w:t xml:space="preserve">39. GEA. GEA Scenario database (public) [Internet]. [cited 2021 Jan 20]. Available from:</w:t>
      </w:r>
      <w:r>
        <w:t xml:space="preserve"> </w:t>
      </w:r>
      <w:hyperlink r:id="rId122">
        <w:r>
          <w:rPr>
            <w:rStyle w:val="Hyperlink"/>
          </w:rPr>
          <w:t xml:space="preserve">https://www.iiasa.ac.at/web-apps/ene/geadb/dsd?Action=htmlpage&amp;page=about</w:t>
        </w:r>
      </w:hyperlink>
    </w:p>
    <w:bookmarkEnd w:id="123"/>
    <w:bookmarkStart w:id="125" w:name="ref-millward-hopkins_providing_2020"/>
    <w:p>
      <w:pPr>
        <w:pStyle w:val="Bibliography"/>
      </w:pPr>
      <w:r>
        <w:t xml:space="preserve">40. Millward-Hopkins J, Steinberger JK, Rao ND, Oswald Y. Providing decent living with minimum energy: A global scenario. Global Environmental Change [Internet]. 2020 Nov [cited 2020 Oct 9];65:102168. Available from:</w:t>
      </w:r>
      <w:r>
        <w:t xml:space="preserve"> </w:t>
      </w:r>
      <w:hyperlink r:id="rId124">
        <w:r>
          <w:rPr>
            <w:rStyle w:val="Hyperlink"/>
          </w:rPr>
          <w:t xml:space="preserve">http://www.sciencedirect.com/science/article/pii/S0959378020307512</w:t>
        </w:r>
      </w:hyperlink>
    </w:p>
    <w:bookmarkEnd w:id="125"/>
    <w:bookmarkEnd w:id="12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2021-02-15T12:27:17Z</dcterms:created>
  <dcterms:modified xsi:type="dcterms:W3CDTF">2021-02-15T12:27:17Z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