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df" ContentType="application/pdf"/>
  <Override PartName="/word/media/rId23.pdf" ContentType="application/pdf"/>
  <Override PartName="/word/media/rId25.pdf" ContentType="application/pdf"/>
  <Override PartName="/word/media/rId28.pdf" ContentType="application/pdf"/>
  <Override PartName="/word/media/rId30.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11</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bookmarkStart w:id="20" w:name="introduction"/>
    <w:p>
      <w:pPr>
        <w:pStyle w:val="Heading1"/>
      </w:pPr>
      <w:r>
        <w:rPr>
          <w:rStyle w:val="SectionNumber"/>
        </w:rPr>
        <w:t xml:space="preserve">1</w:t>
      </w:r>
      <w:r>
        <w:tab/>
      </w:r>
      <w:r>
        <w:t xml:space="preserve">Introduction</w:t>
      </w:r>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Millward-Hopkins et al. (2020)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bookmarkEnd w:id="20"/>
    <w:bookmarkStart w:id="21" w:name="materials-and-methods"/>
    <w:p>
      <w:pPr>
        <w:pStyle w:val="Heading1"/>
      </w:pPr>
      <w:r>
        <w:rPr>
          <w:rStyle w:val="SectionNumber"/>
        </w:rPr>
        <w:t xml:space="preserve">2</w:t>
      </w:r>
      <w:r>
        <w:tab/>
      </w:r>
      <w:r>
        <w:t xml:space="preserve">Materials and methods</w:t>
      </w:r>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t xml:space="preserve">[</w:t>
      </w:r>
      <w:r>
        <w:rPr>
          <w:i/>
        </w:rPr>
        <w:t xml:space="preserve">I think we could have left some subsections here as were before.</w:t>
      </w:r>
      <w:r>
        <w:t xml:space="preserve">]</w:t>
      </w:r>
      <w:r>
        <w:t xml:space="preserve"> </w:t>
      </w:r>
      <w:r>
        <w:rPr>
          <w:i/>
        </w:rPr>
        <w:t xml:space="preserve">Still to add: Scenario sources we use. IIASA scenario database, IEA, DLE, maybe Boell.</w:t>
      </w:r>
    </w:p>
    <w:bookmarkEnd w:id="21"/>
    <w:bookmarkStart w:id="27" w:name="results"/>
    <w:p>
      <w:pPr>
        <w:pStyle w:val="Heading1"/>
      </w:pPr>
      <w:r>
        <w:rPr>
          <w:rStyle w:val="SectionNumber"/>
        </w:rPr>
        <w:t xml:space="preserve">3</w:t>
      </w:r>
      <w:r>
        <w:tab/>
      </w:r>
      <w:r>
        <w:t xml:space="preserve">Results</w:t>
      </w:r>
    </w:p>
    <w:bookmarkStart w:id="24" w:name="X26300b2b5605988fcaa0fef1c2d3a9c6379bd1b"/>
    <w:p>
      <w:pPr>
        <w:pStyle w:val="Heading2"/>
      </w:pPr>
      <w:r>
        <w:rPr>
          <w:rStyle w:val="SectionNumber"/>
        </w:rPr>
        <w:t xml:space="preserve">3.1</w:t>
      </w:r>
      <w:r>
        <w:tab/>
      </w:r>
      <w:r>
        <w:t xml:space="preserve">Resource footprints are less unequal than expenditure levels</w:t>
      </w:r>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w:t>
      </w:r>
      <w:r>
        <w:t xml:space="preserve"> </w:t>
      </w:r>
      <w:r>
        <w:rPr>
          <w:i/>
        </w:rPr>
        <w:t xml:space="preserve">0.2</w:t>
      </w:r>
      <w:r>
        <w:t xml:space="preserve"> </w:t>
      </w:r>
      <w:r>
        <w:t xml:space="preserve">trn€ to</w:t>
      </w:r>
      <w:r>
        <w:t xml:space="preserve"> </w:t>
      </w:r>
      <w:r>
        <w:rPr>
          <w:i/>
        </w:rPr>
        <w:t xml:space="preserve">1.2</w:t>
      </w:r>
      <w:r>
        <w:t xml:space="preserve"> </w:t>
      </w:r>
      <w:r>
        <w:t xml:space="preserve">trn€ (or</w:t>
      </w:r>
      <w:r>
        <w:t xml:space="preserve"> </w:t>
      </w:r>
      <w:r>
        <w:rPr>
          <w:i/>
        </w:rPr>
        <w:t xml:space="preserve">X</w:t>
      </w:r>
      <w:r>
        <w:t xml:space="preserve"> </w:t>
      </w:r>
      <w:r>
        <w:t xml:space="preserve">to</w:t>
      </w:r>
      <w:r>
        <w:t xml:space="preserve"> </w:t>
      </w:r>
      <w:r>
        <w:rPr>
          <w:i/>
        </w:rPr>
        <w:t xml:space="preserve">Y</w:t>
      </w:r>
      <w:r>
        <w:t xml:space="preserve"> </w:t>
      </w:r>
      <w:r>
        <w:t xml:space="preserve">per adult equivalent) across bottom and top decile, the energy footprint from</w:t>
      </w:r>
      <w:r>
        <w:t xml:space="preserve"> </w:t>
      </w:r>
      <w:r>
        <w:rPr>
          <w:i/>
        </w:rPr>
        <w:t xml:space="preserve">4.5</w:t>
      </w:r>
      <w:r>
        <w:t xml:space="preserve"> </w:t>
      </w:r>
      <w:r>
        <w:t xml:space="preserve">EJ to</w:t>
      </w:r>
      <w:r>
        <w:t xml:space="preserve"> </w:t>
      </w:r>
      <w:r>
        <w:rPr>
          <w:i/>
        </w:rPr>
        <w:t xml:space="preserve">15</w:t>
      </w:r>
      <w:r>
        <w:t xml:space="preserve"> </w:t>
      </w:r>
      <w:r>
        <w:t xml:space="preserve">EJ (or</w:t>
      </w:r>
      <w:r>
        <w:t xml:space="preserve"> </w:t>
      </w:r>
      <w:r>
        <w:rPr>
          <w:i/>
        </w:rPr>
        <w:t xml:space="preserve">132</w:t>
      </w:r>
      <w:r>
        <w:t xml:space="preserve"> </w:t>
      </w:r>
      <w:r>
        <w:t xml:space="preserve">GJ/ae to</w:t>
      </w:r>
      <w:r>
        <w:t xml:space="preserve"> </w:t>
      </w:r>
      <w:r>
        <w:rPr>
          <w:i/>
        </w:rPr>
        <w:t xml:space="preserve">457</w:t>
      </w:r>
      <w:r>
        <w:t xml:space="preserve"> </w:t>
      </w:r>
      <w:r>
        <w:t xml:space="preserve">GJ/ae), and the GHG footprint from</w:t>
      </w:r>
      <w:r>
        <w:t xml:space="preserve"> </w:t>
      </w:r>
      <w:r>
        <w:rPr>
          <w:i/>
        </w:rPr>
        <w:t xml:space="preserve">220</w:t>
      </w:r>
      <w:r>
        <w:t xml:space="preserve"> </w:t>
      </w:r>
      <w:r>
        <w:t xml:space="preserve">MtCO2eq to</w:t>
      </w:r>
      <w:r>
        <w:t xml:space="preserve"> </w:t>
      </w:r>
      <w:r>
        <w:rPr>
          <w:i/>
        </w:rPr>
        <w:t xml:space="preserve">610</w:t>
      </w:r>
      <w:r>
        <w:t xml:space="preserve"> </w:t>
      </w:r>
      <w:r>
        <w:t xml:space="preserve">MtCO2eq (or</w:t>
      </w:r>
      <w:r>
        <w:t xml:space="preserve"> </w:t>
      </w:r>
      <w:r>
        <w:rPr>
          <w:i/>
        </w:rPr>
        <w:t xml:space="preserve">7.0</w:t>
      </w:r>
      <w:r>
        <w:t xml:space="preserve"> </w:t>
      </w:r>
      <w:r>
        <w:t xml:space="preserve">tCO2eq/ae to</w:t>
      </w:r>
      <w:r>
        <w:t xml:space="preserve"> </w:t>
      </w:r>
      <w:r>
        <w:rPr>
          <w:i/>
        </w:rPr>
        <w:t xml:space="preserve">18.1</w:t>
      </w:r>
      <w:r>
        <w:t xml:space="preserve"> </w:t>
      </w:r>
      <w:r>
        <w:t xml:space="preserve">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w:t>
      </w:r>
      <w:r>
        <w:t xml:space="preserve"> </w:t>
      </w:r>
      <w:r>
        <w:rPr>
          <w:i/>
        </w:rPr>
        <w:t xml:space="preserve">25</w:t>
      </w:r>
      <w:r>
        <w:t xml:space="preserve"> </w:t>
      </w:r>
      <w:r>
        <w:t xml:space="preserve">MJ/€ in the bottom decile to less than half (</w:t>
      </w:r>
      <w:r>
        <w:rPr>
          <w:i/>
        </w:rPr>
        <w:t xml:space="preserve">12</w:t>
      </w:r>
      <w:r>
        <w:t xml:space="preserve"> </w:t>
      </w:r>
      <w:r>
        <w:t xml:space="preserve">MJ/€) in the top decile. Additionally, the GHG intensity of energy use was also higher in the bottom decile (</w:t>
      </w:r>
      <w:r>
        <w:rPr>
          <w:i/>
        </w:rPr>
        <w:t xml:space="preserve">53</w:t>
      </w:r>
      <w:r>
        <w:t xml:space="preserve"> </w:t>
      </w:r>
      <w:r>
        <w:t xml:space="preserve">gCO2eq/TJ) compared to the top decile (</w:t>
      </w:r>
      <w:r>
        <w:rPr>
          <w:i/>
        </w:rPr>
        <w:t xml:space="preserve">40</w:t>
      </w:r>
      <w:r>
        <w:t xml:space="preserve"> </w:t>
      </w:r>
      <w:r>
        <w:t xml:space="preserve">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3.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2"/>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3.1: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3.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3"/>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3.2: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3.2</w:t>
      </w:r>
      <w:r>
        <w:t xml:space="preserve"> </w:t>
      </w:r>
      <w:r>
        <w:t xml:space="preserve">shows that both of these factors play a role. Poorer households on average, spend larger shares of their expenditure in the shelter sector. The bottom and top deciles spend an average of</w:t>
      </w:r>
      <w:r>
        <w:t xml:space="preserve"> </w:t>
      </w:r>
      <w:r>
        <w:rPr>
          <w:i/>
        </w:rPr>
        <w:t xml:space="preserve">4% and 11%</w:t>
      </w:r>
      <w:r>
        <w:t xml:space="preserve"> </w:t>
      </w:r>
      <w:r>
        <w:t xml:space="preserve">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w:t>
      </w:r>
      <w:r>
        <w:rPr>
          <w:i/>
        </w:rPr>
        <w:t xml:space="preserve">6.7</w:t>
      </w:r>
      <w:r>
        <w:t xml:space="preserve"> </w:t>
      </w:r>
      <w:r>
        <w:t xml:space="preserve">kgCO2eq/€) than in the top decile (</w:t>
      </w:r>
      <w:r>
        <w:rPr>
          <w:i/>
        </w:rPr>
        <w:t xml:space="preserve">1.7</w:t>
      </w:r>
      <w:r>
        <w:t xml:space="preserve"> </w:t>
      </w:r>
      <w:r>
        <w:t xml:space="preserve">kgCO2eq/€). Households in the top decile spend about</w:t>
      </w:r>
      <w:r>
        <w:t xml:space="preserve"> </w:t>
      </w:r>
      <w:r>
        <w:rPr>
          <w:i/>
        </w:rPr>
        <w:t xml:space="preserve">57</w:t>
      </w:r>
      <w:r>
        <w:t xml:space="preserve">% in the service sector that has the lowset GHG intensity, compared to</w:t>
      </w:r>
      <w:r>
        <w:t xml:space="preserve"> </w:t>
      </w:r>
      <w:r>
        <w:rPr>
          <w:i/>
        </w:rPr>
        <w:t xml:space="preserve">37</w:t>
      </w:r>
      <w:r>
        <w:t xml:space="preserve">%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bookmarkEnd w:id="24"/>
    <w:bookmarkStart w:id="26" w:name="Xa5ec6b06a9f98c59372e9d5ceb51319bf0d5548"/>
    <w:p>
      <w:pPr>
        <w:pStyle w:val="Heading2"/>
      </w:pPr>
      <w:r>
        <w:rPr>
          <w:rStyle w:val="SectionNumber"/>
        </w:rPr>
        <w:t xml:space="preserve">3.2</w:t>
      </w:r>
      <w:r>
        <w:tab/>
      </w:r>
      <w:r>
        <w:t xml:space="preserve">Inequality across final consumption sectors</w:t>
      </w:r>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w:t>
      </w:r>
      <w:r>
        <w:t xml:space="preserve"> </w:t>
      </w:r>
      <w:r>
        <w:rPr>
          <w:i/>
        </w:rPr>
        <w:t xml:space="preserve">10</w:t>
      </w:r>
      <w:r>
        <w:t xml:space="preserve"> </w:t>
      </w:r>
      <w:r>
        <w:t xml:space="preserve">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w:t>
      </w:r>
      <w:r>
        <w:t xml:space="preserve"> </w:t>
      </w:r>
      <w:r>
        <w:rPr>
          <w:i/>
        </w:rPr>
        <w:t xml:space="preserve">5.3</w:t>
      </w:r>
      <w:r>
        <w:t xml:space="preserve"> </w:t>
      </w:r>
      <w:r>
        <w:t xml:space="preserve">for both footprints), followed by services (10:10 ratios of</w:t>
      </w:r>
      <w:r>
        <w:t xml:space="preserve"> </w:t>
      </w:r>
      <w:r>
        <w:rPr>
          <w:i/>
        </w:rPr>
        <w:t xml:space="preserve">4.4</w:t>
      </w:r>
      <w:r>
        <w:t xml:space="preserve"> </w:t>
      </w:r>
      <w:r>
        <w:t xml:space="preserve">for GHGs and</w:t>
      </w:r>
      <w:r>
        <w:t xml:space="preserve"> </w:t>
      </w:r>
      <w:r>
        <w:rPr>
          <w:i/>
        </w:rPr>
        <w:t xml:space="preserve">4.9</w:t>
      </w:r>
      <w:r>
        <w:t xml:space="preserve"> </w:t>
      </w:r>
      <w:r>
        <w:t xml:space="preserve">for energy) and then food (10:10 ratios of</w:t>
      </w:r>
      <w:r>
        <w:t xml:space="preserve"> </w:t>
      </w:r>
      <w:r>
        <w:rPr>
          <w:i/>
        </w:rPr>
        <w:t xml:space="preserve">2.1</w:t>
      </w:r>
      <w:r>
        <w:t xml:space="preserve"> </w:t>
      </w:r>
      <w:r>
        <w:t xml:space="preserve">for both footprints).</w:t>
      </w:r>
    </w:p>
    <w:p>
      <w:pPr>
        <w:pStyle w:val="CaptionedFigure"/>
      </w:pPr>
      <w:r>
        <w:drawing>
          <wp:inline>
            <wp:extent cx="5943600" cy="3704431"/>
            <wp:effectExtent b="0" l="0" r="0" t="0"/>
            <wp:docPr descr="Figure 3.3: Energy and GHG footprints by final demand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5"/>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3.3: Energy and GHG footprints by final demand sector and European expenditure decile in 2015 further broken down by emission source location.</w:t>
      </w:r>
    </w:p>
    <w:p>
      <w:pPr>
        <w:pStyle w:val="BodyText"/>
      </w:pPr>
      <w:r>
        <w:t xml:space="preserve">[</w:t>
      </w:r>
      <w:r>
        <w:rPr>
          <w:i/>
        </w:rPr>
        <w:t xml:space="preserve">This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bookmarkEnd w:id="26"/>
    <w:bookmarkEnd w:id="27"/>
    <w:bookmarkStart w:id="32" w:name="counterfactual-a-1.5c-compatible-europe"/>
    <w:p>
      <w:pPr>
        <w:pStyle w:val="Heading1"/>
      </w:pPr>
      <w:r>
        <w:rPr>
          <w:rStyle w:val="SectionNumber"/>
        </w:rPr>
        <w:t xml:space="preserve">4</w:t>
      </w:r>
      <w:r>
        <w:tab/>
      </w:r>
      <w:r>
        <w:t xml:space="preserve">Counterfactual: a 1.5°C compatible Europe</w:t>
      </w:r>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transformation.</w:t>
      </w:r>
    </w:p>
    <w:p>
      <w:pPr>
        <w:pStyle w:val="BodyText"/>
      </w:pPr>
      <w:r>
        <w:t xml:space="preserve">The various global supply side scenarios (name them) envisage total EU (</w:t>
      </w:r>
      <w:r>
        <w:rPr>
          <w:i/>
        </w:rPr>
        <w:t xml:space="preserve">or our sample</w:t>
      </w:r>
      <w:r>
        <w:t xml:space="preserve">) energy consumption falling from the current X EJ to X-Y EJ by 2030 (or 2050), equivalent to a per capita reduction from a current average of 250 GJ to X-Y GJ.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very low energy consumption (between 16-27 GJ per capita) could be sufficient. However, these scenarios rely on socio-technological transformations on a scale that far exceeds the current political discourse on the subject. All two/three scenarios are 1.5°C compatible without resorting to any CCS but they all implictily (LED) or explicitly (DLE) assume near complete equality of consumption across the population. To put these low energy demand numbers in perspective, households in the first European expenditure quantile had an energy consumption of 130 GJ per adult equivalent (</w:t>
      </w:r>
      <w:r>
        <w:rPr>
          <w:i/>
        </w:rPr>
        <w:t xml:space="preserve">convert/handle adulteq/capita consistently in mansucript</w:t>
      </w:r>
      <w:r>
        <w:t xml:space="preserve">) in 2015 and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bookmarkStart w:id="29" w:name="X2dd794aa03f2c63ef4370bbc84e8c987b3f3651"/>
    <w:p>
      <w:pPr>
        <w:pStyle w:val="Heading2"/>
      </w:pPr>
      <w:r>
        <w:rPr>
          <w:rStyle w:val="SectionNumber"/>
        </w:rPr>
        <w:t xml:space="preserve">4.1</w:t>
      </w:r>
      <w:r>
        <w:tab/>
      </w:r>
      <w:r>
        <w:t xml:space="preserve">Current empirical best technology per sector</w:t>
      </w:r>
    </w:p>
    <w:p>
      <w:pPr>
        <w:pStyle w:val="CaptionedFigure"/>
      </w:pPr>
      <w:r>
        <w:drawing>
          <wp:inline>
            <wp:extent cx="5943600" cy="3782290"/>
            <wp:effectExtent b="0" l="0" r="0" t="0"/>
            <wp:docPr descr="Figure 4.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28"/>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4.1: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w:t>
      </w:r>
      <w:r>
        <w:t xml:space="preserve"> </w:t>
      </w:r>
      <w:r>
        <w:t xml:space="preserve">- Improving energy efficiency is the most politically uncontroversial step towards mitigation targets. The EU has a bunch of policies for that, old and new. The GD has a transition fund to pay for this for poorer countries, sort of.</w:t>
      </w:r>
    </w:p>
    <w:bookmarkEnd w:id="29"/>
    <w:bookmarkStart w:id="31" w:name="inequality-in-a-1.5c-compatible-europe"/>
    <w:p>
      <w:pPr>
        <w:pStyle w:val="Heading2"/>
      </w:pPr>
      <w:r>
        <w:rPr>
          <w:rStyle w:val="SectionNumber"/>
        </w:rPr>
        <w:t xml:space="preserve">4.2</w:t>
      </w:r>
      <w:r>
        <w:tab/>
      </w:r>
      <w:r>
        <w:t xml:space="preserve">Inequality in a 1.5°C compatible Europe</w:t>
      </w:r>
    </w:p>
    <w:p>
      <w:pPr>
        <w:pStyle w:val="FirstParagraph"/>
      </w:pPr>
      <w:r>
        <w:t xml:space="preserve">Points to hit:</w:t>
      </w:r>
    </w:p>
    <w:p>
      <w:pPr>
        <w:numPr>
          <w:ilvl w:val="0"/>
          <w:numId w:val="1001"/>
        </w:numPr>
      </w:pPr>
      <w:r>
        <w:t xml:space="preserve">We introduce the main global 1.5°C compatible scenarios with their energy supply and their assumptions for minimal energy demand for a decent life (maybe table).</w:t>
      </w:r>
    </w:p>
    <w:p>
      <w:pPr>
        <w:numPr>
          <w:ilvl w:val="0"/>
          <w:numId w:val="1001"/>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ilvl w:val="0"/>
          <w:numId w:val="1001"/>
        </w:numPr>
      </w:pPr>
      <w:r>
        <w:t xml:space="preserve">We then explain how to do this more generically pointing to figure 5 that shows the scenario space.</w:t>
      </w:r>
    </w:p>
    <w:p>
      <w:pPr>
        <w:pStyle w:val="FirstParagraph"/>
      </w:pPr>
      <w:r>
        <w:t xml:space="preserve">Text:</w:t>
      </w:r>
    </w:p>
    <w:p>
      <w:pPr>
        <w:pStyle w:val="BodyText"/>
      </w:pPr>
      <w:r>
        <w:t xml:space="preserve">Fig. 5 shows this option space between achieving mean energy in five decarbonisation scenarios, and the trade-off between achieving minimum energy requirements as well (x-axis), and the level of inequality required to achieve both (y-axis). In Figure 5, all deciles have the same technology as the tenth decile, as shown in Figure 4. For example, to achieve mean energy of 87 GJ/cap (as in the SSP1-1.9 scenario) and minimum energy of 27 GJ/cap for all, inequality would need to decrease from the current 10:10 ratio around 7 to just over 6. At current inequality levels, only those scenarios with heavy CCS deployment and GEA efficiency are possible if we assume likely overly optimistic minimum energy requirements (below 27 GJ/cap). This 27 GJ/capita is the value the low-energy demand (LED) scenario (with strong demand-side effort) gives for the global South in 2050, with the global North at 53 GJ/cap. If we assumed minimum energy requirements to be 53 GJ/cap,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4.2: Dings. in Figure 5, all deciles have ‘best technology’ already"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30"/>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4.2: Dings. in Figure 5, all deciles have</w:t>
      </w:r>
      <w:r>
        <w:t xml:space="preserve"> </w:t>
      </w:r>
      <w:r>
        <w:t xml:space="preserve">‘</w:t>
      </w:r>
      <w:r>
        <w:t xml:space="preserve">best technology</w:t>
      </w:r>
      <w:r>
        <w:t xml:space="preserve">’</w:t>
      </w:r>
      <w:r>
        <w:t xml:space="preserve"> </w:t>
      </w:r>
      <w:r>
        <w:t xml:space="preserve">already</w:t>
      </w:r>
    </w:p>
    <w:bookmarkEnd w:id="31"/>
    <w:bookmarkEnd w:id="32"/>
    <w:bookmarkStart w:id="33" w:name="discussion-and-conclusions"/>
    <w:p>
      <w:pPr>
        <w:pStyle w:val="Heading1"/>
      </w:pPr>
      <w:r>
        <w:rPr>
          <w:rStyle w:val="SectionNumber"/>
        </w:rPr>
        <w:t xml:space="preserve">5</w:t>
      </w:r>
      <w:r>
        <w:tab/>
      </w:r>
      <w:r>
        <w:t xml:space="preserve">Discussion and conclusions</w:t>
      </w:r>
    </w:p>
    <w:bookmarkEnd w:id="33"/>
    <w:bookmarkStart w:id="34" w:name="acknowledgements"/>
    <w:p>
      <w:pPr>
        <w:pStyle w:val="Heading1"/>
      </w:pPr>
      <w:r>
        <w:rPr>
          <w:rStyle w:val="SectionNumber"/>
        </w:rPr>
        <w:t xml:space="preserve">6</w:t>
      </w:r>
      <w:r>
        <w:tab/>
      </w:r>
      <w:r>
        <w:t xml:space="preserve">Acknowledgements</w:t>
      </w:r>
    </w:p>
    <w:p>
      <w:r>
        <w:br w:type="page"/>
      </w:r>
    </w:p>
    <w:bookmarkEnd w:id="34"/>
    <w:bookmarkStart w:id="49" w:name="references"/>
    <w:p>
      <w:pPr>
        <w:pStyle w:val="Heading1"/>
      </w:pPr>
      <w:r>
        <w:rPr>
          <w:rStyle w:val="SectionNumber"/>
        </w:rPr>
        <w:t xml:space="preserve">7</w:t>
      </w:r>
      <w:r>
        <w:tab/>
      </w:r>
      <w:r>
        <w:t xml:space="preserve">References</w:t>
      </w:r>
    </w:p>
    <w:bookmarkStart w:id="47" w:name="refs"/>
    <w:bookmarkStart w:id="36"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5">
        <w:r>
          <w:rPr>
            <w:rStyle w:val="Hyperlink"/>
          </w:rPr>
          <w:t xml:space="preserve">https://doi.org/10.1038/s41558-018-0121-1</w:t>
        </w:r>
      </w:hyperlink>
    </w:p>
    <w:bookmarkEnd w:id="36"/>
    <w:bookmarkStart w:id="3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w:t>
      </w:r>
      <w:r>
        <w:t xml:space="preserve">C</w:t>
      </w:r>
      <w:r>
        <w:t xml:space="preserve"> </w:t>
      </w:r>
      <w:r>
        <w:t xml:space="preserve">target and sustainable development goals without negative emission technologies. Nature Energy 3, 517–525. https://doi.org/</w:t>
      </w:r>
      <w:hyperlink r:id="rId37">
        <w:r>
          <w:rPr>
            <w:rStyle w:val="Hyperlink"/>
          </w:rPr>
          <w:t xml:space="preserve">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38"/>
    <w:bookmarkStart w:id="40"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39">
        <w:r>
          <w:rPr>
            <w:rStyle w:val="Hyperlink"/>
          </w:rPr>
          <w:t xml:space="preserve">https://doi.org/10.1088/1748-9326/ab8589</w:t>
        </w:r>
      </w:hyperlink>
    </w:p>
    <w:bookmarkEnd w:id="40"/>
    <w:bookmarkStart w:id="42" w:name="ref-ivanova_mapping_2017"/>
    <w:p>
      <w:pPr>
        <w:pStyle w:val="Bibliography"/>
      </w:pPr>
      <w:r>
        <w:t xml:space="preserve">Ivanova, D., Vita, G., Steen-Olsen, K., Stadler, K., Melo, P.C., Wood, R., Hertwich, E.G., 2017. Mapping the carbon footprint of</w:t>
      </w:r>
      <w:r>
        <w:t xml:space="preserve"> </w:t>
      </w:r>
      <w:r>
        <w:t xml:space="preserve">EU</w:t>
      </w:r>
      <w:r>
        <w:t xml:space="preserve"> </w:t>
      </w:r>
      <w:r>
        <w:t xml:space="preserve">regions. Environmental Research Letters 12, 054013.</w:t>
      </w:r>
      <w:r>
        <w:t xml:space="preserve"> </w:t>
      </w:r>
      <w:hyperlink r:id="rId41">
        <w:r>
          <w:rPr>
            <w:rStyle w:val="Hyperlink"/>
          </w:rPr>
          <w:t xml:space="preserve">https://doi.org/10.1088/1748-9326/aa6da9</w:t>
        </w:r>
      </w:hyperlink>
    </w:p>
    <w:bookmarkEnd w:id="42"/>
    <w:bookmarkStart w:id="44" w:name="ref-millward-hopkins_providing_2020"/>
    <w:p>
      <w:pPr>
        <w:pStyle w:val="Bibliography"/>
      </w:pPr>
      <w:r>
        <w:t xml:space="preserve">Millward-Hopkins, J., Steinberger, J.K., Rao, N.D., Oswald, Y., 2020. Providing decent living with minimum energy:</w:t>
      </w:r>
      <w:r>
        <w:t xml:space="preserve"> </w:t>
      </w:r>
      <w:r>
        <w:t xml:space="preserve">A</w:t>
      </w:r>
      <w:r>
        <w:t xml:space="preserve"> </w:t>
      </w:r>
      <w:r>
        <w:t xml:space="preserve">global scenario. Global Environmental Change 65, 102168.</w:t>
      </w:r>
      <w:r>
        <w:t xml:space="preserve"> </w:t>
      </w:r>
      <w:hyperlink r:id="rId43">
        <w:r>
          <w:rPr>
            <w:rStyle w:val="Hyperlink"/>
          </w:rPr>
          <w:t xml:space="preserve">https://doi.org/10.1016/j.gloenvcha.2020.102168</w:t>
        </w:r>
      </w:hyperlink>
    </w:p>
    <w:bookmarkEnd w:id="44"/>
    <w:bookmarkStart w:id="46"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5">
        <w:r>
          <w:rPr>
            <w:rStyle w:val="Hyperlink"/>
          </w:rPr>
          <w:t xml:space="preserve">https://doi.org/10.1038/s41560-020-0579-8</w:t>
        </w:r>
      </w:hyperlink>
    </w:p>
    <w:bookmarkEnd w:id="46"/>
    <w:bookmarkEnd w:id="47"/>
    <w:p>
      <w:r>
        <w:br w:type="page"/>
      </w:r>
    </w:p>
    <w:bookmarkStart w:id="48" w:name="colophon"/>
    <w:p>
      <w:pPr>
        <w:pStyle w:val="Heading3"/>
      </w:pPr>
      <w:r>
        <w:rPr>
          <w:rStyle w:val="SectionNumber"/>
        </w:rPr>
        <w:t xml:space="preserve">7.0.1</w:t>
      </w:r>
      <w:r>
        <w:tab/>
      </w:r>
      <w:r>
        <w:t xml:space="preserve">Colophon</w:t>
      </w:r>
    </w:p>
    <w:p>
      <w:pPr>
        <w:pStyle w:val="FirstParagraph"/>
      </w:pPr>
      <w:r>
        <w:t xml:space="preserve">This report was generated on 2020-12-11 14:52:44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20.04.1 LTS          </w:t>
      </w:r>
      <w:r>
        <w:br/>
      </w:r>
      <w:r>
        <w:rPr>
          <w:rStyle w:val="VerbatimChar"/>
        </w:rPr>
        <w:t xml:space="preserve">#&gt;  system   x86_64, linux-gnu           </w:t>
      </w:r>
      <w:r>
        <w:br/>
      </w:r>
      <w:r>
        <w:rPr>
          <w:rStyle w:val="VerbatimChar"/>
        </w:rPr>
        <w:t xml:space="preserve">#&gt;  ui       X11                         </w:t>
      </w:r>
      <w:r>
        <w:br/>
      </w:r>
      <w:r>
        <w:rPr>
          <w:rStyle w:val="VerbatimChar"/>
        </w:rPr>
        <w:t xml:space="preserve">#&gt;  language (EN)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2020-12-11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3.6.1)                      </w:t>
      </w:r>
      <w:r>
        <w:br/>
      </w:r>
      <w:r>
        <w:rPr>
          <w:rStyle w:val="VerbatimChar"/>
        </w:rPr>
        <w:t xml:space="preserve">#&gt;  backports     1.2.0      2020-11-02 [1] CRAN (R 3.6.3)                      </w:t>
      </w:r>
      <w:r>
        <w:br/>
      </w:r>
      <w:r>
        <w:rPr>
          <w:rStyle w:val="VerbatimChar"/>
        </w:rPr>
        <w:t xml:space="preserve">#&gt;  bit           4.0.4      2020-08-04 [1] CRAN (R 3.6.3)                      </w:t>
      </w:r>
      <w:r>
        <w:br/>
      </w:r>
      <w:r>
        <w:rPr>
          <w:rStyle w:val="VerbatimChar"/>
        </w:rPr>
        <w:t xml:space="preserve">#&gt;  bit64         4.0.5      2020-08-30 [1] CRAN (R 3.6.3)                      </w:t>
      </w:r>
      <w:r>
        <w:br/>
      </w:r>
      <w:r>
        <w:rPr>
          <w:rStyle w:val="VerbatimChar"/>
        </w:rPr>
        <w:t xml:space="preserve">#&gt;  bookdown      0.21       2020-10-13 [1] CRAN (R 3.6.3)                      </w:t>
      </w:r>
      <w:r>
        <w:br/>
      </w:r>
      <w:r>
        <w:rPr>
          <w:rStyle w:val="VerbatimChar"/>
        </w:rPr>
        <w:t xml:space="preserve">#&gt;  broom         0.7.2      2020-10-20 [1] CRAN (R 3.6.3)                      </w:t>
      </w:r>
      <w:r>
        <w:br/>
      </w:r>
      <w:r>
        <w:rPr>
          <w:rStyle w:val="VerbatimChar"/>
        </w:rPr>
        <w:t xml:space="preserve">#&gt;  callr         3.5.1      2020-10-13 [1] CRAN (R 3.6.3)                      </w:t>
      </w:r>
      <w:r>
        <w:br/>
      </w:r>
      <w:r>
        <w:rPr>
          <w:rStyle w:val="VerbatimChar"/>
        </w:rPr>
        <w:t xml:space="preserve">#&gt;  cellranger    1.1.0      2016-07-27 [3] CRAN (R 3.5.0)                      </w:t>
      </w:r>
      <w:r>
        <w:br/>
      </w:r>
      <w:r>
        <w:rPr>
          <w:rStyle w:val="VerbatimChar"/>
        </w:rPr>
        <w:t xml:space="preserve">#&gt;  cli           2.2.0      2020-11-20 [1] CRAN (R 3.6.3)                      </w:t>
      </w:r>
      <w:r>
        <w:br/>
      </w:r>
      <w:r>
        <w:rPr>
          <w:rStyle w:val="VerbatimChar"/>
        </w:rPr>
        <w:t xml:space="preserve">#&gt;  colorspace    2.0-0      2020-11-11 [1] CRAN (R 3.6.3)                      </w:t>
      </w:r>
      <w:r>
        <w:br/>
      </w:r>
      <w:r>
        <w:rPr>
          <w:rStyle w:val="VerbatimChar"/>
        </w:rPr>
        <w:t xml:space="preserve">#&gt;  crayon        1.3.4      2017-09-16 [3] CRAN (R 3.5.0)                      </w:t>
      </w:r>
      <w:r>
        <w:br/>
      </w:r>
      <w:r>
        <w:rPr>
          <w:rStyle w:val="VerbatimChar"/>
        </w:rPr>
        <w:t xml:space="preserve">#&gt;  DBI           1.1.0      2019-12-15 [1] CRAN (R 3.6.2)                      </w:t>
      </w:r>
      <w:r>
        <w:br/>
      </w:r>
      <w:r>
        <w:rPr>
          <w:rStyle w:val="VerbatimChar"/>
        </w:rPr>
        <w:t xml:space="preserve">#&gt;  dbplyr        2.0.0      2020-11-03 [1] CRAN (R 3.6.3)                      </w:t>
      </w:r>
      <w:r>
        <w:br/>
      </w:r>
      <w:r>
        <w:rPr>
          <w:rStyle w:val="VerbatimChar"/>
        </w:rPr>
        <w:t xml:space="preserve">#&gt;  desc          1.2.0      2018-05-01 [3] CRAN (R 3.5.0)                      </w:t>
      </w:r>
      <w:r>
        <w:br/>
      </w:r>
      <w:r>
        <w:rPr>
          <w:rStyle w:val="VerbatimChar"/>
        </w:rPr>
        <w:t xml:space="preserve">#&gt;  devtools      2.3.2      2020-09-18 [1] CRAN (R 3.6.3)                      </w:t>
      </w:r>
      <w:r>
        <w:br/>
      </w:r>
      <w:r>
        <w:rPr>
          <w:rStyle w:val="VerbatimChar"/>
        </w:rPr>
        <w:t xml:space="preserve">#&gt;  digest        0.6.27     2020-10-24 [1] CRAN (R 3.6.3)                      </w:t>
      </w:r>
      <w:r>
        <w:br/>
      </w:r>
      <w:r>
        <w:rPr>
          <w:rStyle w:val="VerbatimChar"/>
        </w:rPr>
        <w:t xml:space="preserve">#&gt;  dotCall64     1.0-0      2018-07-30 [1] CRAN (R 3.6.1)                      </w:t>
      </w:r>
      <w:r>
        <w:br/>
      </w:r>
      <w:r>
        <w:rPr>
          <w:rStyle w:val="VerbatimChar"/>
        </w:rPr>
        <w:t xml:space="preserve">#&gt;  dplyr       * 1.0.2      2020-08-18 [1] CRAN (R 3.6.3)                      </w:t>
      </w:r>
      <w:r>
        <w:br/>
      </w:r>
      <w:r>
        <w:rPr>
          <w:rStyle w:val="VerbatimChar"/>
        </w:rPr>
        <w:t xml:space="preserve">#&gt;  ellipsis      0.3.1      2020-05-15 [1] CRAN (R 3.6.2)                      </w:t>
      </w:r>
      <w:r>
        <w:br/>
      </w:r>
      <w:r>
        <w:rPr>
          <w:rStyle w:val="VerbatimChar"/>
        </w:rPr>
        <w:t xml:space="preserve">#&gt;  evaluate      0.14       2019-05-28 [1] CRAN (R 3.6.1)                      </w:t>
      </w:r>
      <w:r>
        <w:br/>
      </w:r>
      <w:r>
        <w:rPr>
          <w:rStyle w:val="VerbatimChar"/>
        </w:rPr>
        <w:t xml:space="preserve">#&gt;  extrafont     0.17       2014-12-08 [1] CRAN (R 3.6.2)                      </w:t>
      </w:r>
      <w:r>
        <w:br/>
      </w:r>
      <w:r>
        <w:rPr>
          <w:rStyle w:val="VerbatimChar"/>
        </w:rPr>
        <w:t xml:space="preserve">#&gt;  extrafontdb   1.0        2012-06-11 [1] CRAN (R 3.6.1)                      </w:t>
      </w:r>
      <w:r>
        <w:br/>
      </w:r>
      <w:r>
        <w:rPr>
          <w:rStyle w:val="VerbatimChar"/>
        </w:rPr>
        <w:t xml:space="preserve">#&gt;  fansi         0.4.1      2020-01-08 [1] CRAN (R 3.6.2)                      </w:t>
      </w:r>
      <w:r>
        <w:br/>
      </w:r>
      <w:r>
        <w:rPr>
          <w:rStyle w:val="VerbatimChar"/>
        </w:rPr>
        <w:t xml:space="preserve">#&gt;  farver        2.0.3      2020-01-16 [1] CRAN (R 3.6.2)                      </w:t>
      </w:r>
      <w:r>
        <w:br/>
      </w:r>
      <w:r>
        <w:rPr>
          <w:rStyle w:val="VerbatimChar"/>
        </w:rPr>
        <w:t xml:space="preserve">#&gt;  fields        11.6       2020-10-09 [1] CRAN (R 3.6.3)                      </w:t>
      </w:r>
      <w:r>
        <w:br/>
      </w:r>
      <w:r>
        <w:rPr>
          <w:rStyle w:val="VerbatimChar"/>
        </w:rPr>
        <w:t xml:space="preserve">#&gt;  forcats     * 0.5.0      2020-03-01 [1] CRAN (R 3.6.2)                      </w:t>
      </w:r>
      <w:r>
        <w:br/>
      </w:r>
      <w:r>
        <w:rPr>
          <w:rStyle w:val="VerbatimChar"/>
        </w:rPr>
        <w:t xml:space="preserve">#&gt;  foreign       0.8-75     2020-01-20 [4] CRAN (R 3.6.2)                      </w:t>
      </w:r>
      <w:r>
        <w:br/>
      </w:r>
      <w:r>
        <w:rPr>
          <w:rStyle w:val="VerbatimChar"/>
        </w:rPr>
        <w:t xml:space="preserve">#&gt;  fs            1.5.0      2020-07-31 [1] CRAN (R 3.6.3)                      </w:t>
      </w:r>
      <w:r>
        <w:br/>
      </w:r>
      <w:r>
        <w:rPr>
          <w:rStyle w:val="VerbatimChar"/>
        </w:rPr>
        <w:t xml:space="preserve">#&gt;  gdtools       0.2.2      2020-04-03 [1] CRAN (R 3.6.2)                      </w:t>
      </w:r>
      <w:r>
        <w:br/>
      </w:r>
      <w:r>
        <w:rPr>
          <w:rStyle w:val="VerbatimChar"/>
        </w:rPr>
        <w:t xml:space="preserve">#&gt;  generics      0.1.0      2020-10-31 [1] CRAN (R 3.6.3)                      </w:t>
      </w:r>
      <w:r>
        <w:br/>
      </w:r>
      <w:r>
        <w:rPr>
          <w:rStyle w:val="VerbatimChar"/>
        </w:rPr>
        <w:t xml:space="preserve">#&gt;  ggplot2     * 3.3.2      2020-06-19 [1] CRAN (R 3.6.3)                      </w:t>
      </w:r>
      <w:r>
        <w:br/>
      </w:r>
      <w:r>
        <w:rPr>
          <w:rStyle w:val="VerbatimChar"/>
        </w:rPr>
        <w:t xml:space="preserve">#&gt;  ggridges    * 0.5.2      2020-01-12 [1] CRAN (R 3.6.2)                      </w:t>
      </w:r>
      <w:r>
        <w:br/>
      </w:r>
      <w:r>
        <w:rPr>
          <w:rStyle w:val="VerbatimChar"/>
        </w:rPr>
        <w:t xml:space="preserve">#&gt;  ggthemes    * 4.2.0      2019-05-13 [1] CRAN (R 3.6.2)                      </w:t>
      </w:r>
      <w:r>
        <w:br/>
      </w:r>
      <w:r>
        <w:rPr>
          <w:rStyle w:val="VerbatimChar"/>
        </w:rPr>
        <w:t xml:space="preserve">#&gt;  glue        * 1.4.2      2020-08-27 [1] CRAN (R 3.6.3)                      </w:t>
      </w:r>
      <w:r>
        <w:br/>
      </w:r>
      <w:r>
        <w:rPr>
          <w:rStyle w:val="VerbatimChar"/>
        </w:rPr>
        <w:t xml:space="preserve">#&gt;  gridExtra     2.3        2017-09-09 [1] CRAN (R 3.6.1)                      </w:t>
      </w:r>
      <w:r>
        <w:br/>
      </w:r>
      <w:r>
        <w:rPr>
          <w:rStyle w:val="VerbatimChar"/>
        </w:rPr>
        <w:t xml:space="preserve">#&gt;  gtable        0.3.0      2019-03-25 [1] CRAN (R 3.6.1)                      </w:t>
      </w:r>
      <w:r>
        <w:br/>
      </w:r>
      <w:r>
        <w:rPr>
          <w:rStyle w:val="VerbatimChar"/>
        </w:rPr>
        <w:t xml:space="preserve">#&gt;  haven         2.3.1      2020-06-01 [1] CRAN (R 3.6.3)                      </w:t>
      </w:r>
      <w:r>
        <w:br/>
      </w:r>
      <w:r>
        <w:rPr>
          <w:rStyle w:val="VerbatimChar"/>
        </w:rPr>
        <w:t xml:space="preserve">#&gt;  here        * 1.0.0      2020-11-15 [1] CRAN (R 3.6.3)                      </w:t>
      </w:r>
      <w:r>
        <w:br/>
      </w:r>
      <w:r>
        <w:rPr>
          <w:rStyle w:val="VerbatimChar"/>
        </w:rPr>
        <w:t xml:space="preserve">#&gt;  hms           0.5.3      2020-01-08 [1] CRAN (R 3.6.2)                      </w:t>
      </w:r>
      <w:r>
        <w:br/>
      </w:r>
      <w:r>
        <w:rPr>
          <w:rStyle w:val="VerbatimChar"/>
        </w:rPr>
        <w:t xml:space="preserve">#&gt;  hrbrthemes  * 0.8.0      2020-03-06 [1] CRAN (R 3.6.2)                      </w:t>
      </w:r>
      <w:r>
        <w:br/>
      </w:r>
      <w:r>
        <w:rPr>
          <w:rStyle w:val="VerbatimChar"/>
        </w:rPr>
        <w:t xml:space="preserve">#&gt;  htmltools     0.5.0      2020-06-16 [1] CRAN (R 3.6.3)                      </w:t>
      </w:r>
      <w:r>
        <w:br/>
      </w:r>
      <w:r>
        <w:rPr>
          <w:rStyle w:val="VerbatimChar"/>
        </w:rPr>
        <w:t xml:space="preserve">#&gt;  httr          1.4.2      2020-07-20 [1] CRAN (R 3.6.3)                      </w:t>
      </w:r>
      <w:r>
        <w:br/>
      </w:r>
      <w:r>
        <w:rPr>
          <w:rStyle w:val="VerbatimChar"/>
        </w:rPr>
        <w:t xml:space="preserve">#&gt;  ISOcodes    * 2020.03.16 2020-03-16 [1] CRAN (R 3.6.2)                      </w:t>
      </w:r>
      <w:r>
        <w:br/>
      </w:r>
      <w:r>
        <w:rPr>
          <w:rStyle w:val="VerbatimChar"/>
        </w:rPr>
        <w:t xml:space="preserve">#&gt;  janitor     * 2.0.1      2020-04-12 [1] CRAN (R 3.6.2)                      </w:t>
      </w:r>
      <w:r>
        <w:br/>
      </w:r>
      <w:r>
        <w:rPr>
          <w:rStyle w:val="VerbatimChar"/>
        </w:rPr>
        <w:t xml:space="preserve">#&gt;  jsonlite      1.7.1      2020-09-07 [1] CRAN (R 3.6.3)                      </w:t>
      </w:r>
      <w:r>
        <w:br/>
      </w:r>
      <w:r>
        <w:rPr>
          <w:rStyle w:val="VerbatimChar"/>
        </w:rPr>
        <w:t xml:space="preserve">#&gt;  knitr         1.30       2020-09-22 [1] CRAN (R 3.6.3)                      </w:t>
      </w:r>
      <w:r>
        <w:br/>
      </w:r>
      <w:r>
        <w:rPr>
          <w:rStyle w:val="VerbatimChar"/>
        </w:rPr>
        <w:t xml:space="preserve">#&gt;  lattice       0.20-41    2020-04-02 [1] CRAN (R 3.6.3)                      </w:t>
      </w:r>
      <w:r>
        <w:br/>
      </w:r>
      <w:r>
        <w:rPr>
          <w:rStyle w:val="VerbatimChar"/>
        </w:rPr>
        <w:t xml:space="preserve">#&gt;  lifecycle     0.2.0      2020-03-06 [1] CRAN (R 3.6.2)                      </w:t>
      </w:r>
      <w:r>
        <w:br/>
      </w:r>
      <w:r>
        <w:rPr>
          <w:rStyle w:val="VerbatimChar"/>
        </w:rPr>
        <w:t xml:space="preserve">#&gt;  lubridate     1.7.9.2    2020-11-13 [1] CRAN (R 3.6.3)                      </w:t>
      </w:r>
      <w:r>
        <w:br/>
      </w:r>
      <w:r>
        <w:rPr>
          <w:rStyle w:val="VerbatimChar"/>
        </w:rPr>
        <w:t xml:space="preserve">#&gt;  magrittr      2.0.1      2020-11-17 [1] CRAN (R 3.6.3)                      </w:t>
      </w:r>
      <w:r>
        <w:br/>
      </w:r>
      <w:r>
        <w:rPr>
          <w:rStyle w:val="VerbatimChar"/>
        </w:rPr>
        <w:t xml:space="preserve">#&gt;  maps          3.3.0      2018-04-03 [3] CRAN (R 3.5.1)                      </w:t>
      </w:r>
      <w:r>
        <w:br/>
      </w:r>
      <w:r>
        <w:rPr>
          <w:rStyle w:val="VerbatimChar"/>
        </w:rPr>
        <w:t xml:space="preserve">#&gt;  maptools      1.0-2      2020-08-24 [1] CRAN (R 3.6.3)                      </w:t>
      </w:r>
      <w:r>
        <w:br/>
      </w:r>
      <w:r>
        <w:rPr>
          <w:rStyle w:val="VerbatimChar"/>
        </w:rPr>
        <w:t xml:space="preserve">#&gt;  memoise       1.1.0      2017-04-21 [3] CRAN (R 3.5.0)                      </w:t>
      </w:r>
      <w:r>
        <w:br/>
      </w:r>
      <w:r>
        <w:rPr>
          <w:rStyle w:val="VerbatimChar"/>
        </w:rPr>
        <w:t xml:space="preserve">#&gt;  modelr        0.1.8      2020-05-19 [1] CRAN (R 3.6.3)                      </w:t>
      </w:r>
      <w:r>
        <w:br/>
      </w:r>
      <w:r>
        <w:rPr>
          <w:rStyle w:val="VerbatimChar"/>
        </w:rPr>
        <w:t xml:space="preserve">#&gt;  munsell       0.5.0      2018-06-12 [3] CRAN (R 3.5.0)                      </w:t>
      </w:r>
      <w:r>
        <w:br/>
      </w:r>
      <w:r>
        <w:rPr>
          <w:rStyle w:val="VerbatimChar"/>
        </w:rPr>
        <w:t xml:space="preserve">#&gt;  pacman      * 0.5.1      2019-03-11 [1] CRAN (R 3.6.1)                      </w:t>
      </w:r>
      <w:r>
        <w:br/>
      </w:r>
      <w:r>
        <w:rPr>
          <w:rStyle w:val="VerbatimChar"/>
        </w:rPr>
        <w:t xml:space="preserve">#&gt;  patchwork   * 1.1.0      2020-11-09 [1] CRAN (R 3.6.3)                      </w:t>
      </w:r>
      <w:r>
        <w:br/>
      </w:r>
      <w:r>
        <w:rPr>
          <w:rStyle w:val="VerbatimChar"/>
        </w:rPr>
        <w:t xml:space="preserve">#&gt;  pillar        1.4.7      2020-11-20 [1] CRAN (R 3.6.3)                      </w:t>
      </w:r>
      <w:r>
        <w:br/>
      </w:r>
      <w:r>
        <w:rPr>
          <w:rStyle w:val="VerbatimChar"/>
        </w:rPr>
        <w:t xml:space="preserve">#&gt;  pkgbuild      1.1.0      2020-07-13 [1] CRAN (R 3.6.3)                      </w:t>
      </w:r>
      <w:r>
        <w:br/>
      </w:r>
      <w:r>
        <w:rPr>
          <w:rStyle w:val="VerbatimChar"/>
        </w:rPr>
        <w:t xml:space="preserve">#&gt;  pkgconfig     2.0.3      2019-09-22 [1] CRAN (R 3.6.1)                      </w:t>
      </w:r>
      <w:r>
        <w:br/>
      </w:r>
      <w:r>
        <w:rPr>
          <w:rStyle w:val="VerbatimChar"/>
        </w:rPr>
        <w:t xml:space="preserve">#&gt;  pkgload       1.1.0      2020-05-29 [1] CRAN (R 3.6.3)                      </w:t>
      </w:r>
      <w:r>
        <w:br/>
      </w:r>
      <w:r>
        <w:rPr>
          <w:rStyle w:val="VerbatimChar"/>
        </w:rPr>
        <w:t xml:space="preserve">#&gt;  plyr          1.8.6      2020-03-03 [1] CRAN (R 3.6.2)                      </w:t>
      </w:r>
      <w:r>
        <w:br/>
      </w:r>
      <w:r>
        <w:rPr>
          <w:rStyle w:val="VerbatimChar"/>
        </w:rPr>
        <w:t xml:space="preserve">#&gt;  prettyunits   1.1.1      2020-01-24 [1] CRAN (R 3.6.2)                      </w:t>
      </w:r>
      <w:r>
        <w:br/>
      </w:r>
      <w:r>
        <w:rPr>
          <w:rStyle w:val="VerbatimChar"/>
        </w:rPr>
        <w:t xml:space="preserve">#&gt;  processx      3.4.5      2020-11-30 [1] CRAN (R 3.6.3)                      </w:t>
      </w:r>
      <w:r>
        <w:br/>
      </w:r>
      <w:r>
        <w:rPr>
          <w:rStyle w:val="VerbatimChar"/>
        </w:rPr>
        <w:t xml:space="preserve">#&gt;  ps            1.4.0      2020-10-07 [1] CRAN (R 3.6.3)                      </w:t>
      </w:r>
      <w:r>
        <w:br/>
      </w:r>
      <w:r>
        <w:rPr>
          <w:rStyle w:val="VerbatimChar"/>
        </w:rPr>
        <w:t xml:space="preserve">#&gt;  purrr       * 0.3.4      2020-04-17 [1] CRAN (R 3.6.2)                      </w:t>
      </w:r>
      <w:r>
        <w:br/>
      </w:r>
      <w:r>
        <w:rPr>
          <w:rStyle w:val="VerbatimChar"/>
        </w:rPr>
        <w:t xml:space="preserve">#&gt;  R6            2.5.0      2020-10-28 [1] CRAN (R 3.6.3)                      </w:t>
      </w:r>
      <w:r>
        <w:br/>
      </w:r>
      <w:r>
        <w:rPr>
          <w:rStyle w:val="VerbatimChar"/>
        </w:rPr>
        <w:t xml:space="preserve">#&gt;  Rcpp          1.0.5      2020-07-06 [1] CRAN (R 3.6.3)                      </w:t>
      </w:r>
      <w:r>
        <w:br/>
      </w:r>
      <w:r>
        <w:rPr>
          <w:rStyle w:val="VerbatimChar"/>
        </w:rPr>
        <w:t xml:space="preserve">#&gt;  readr       * 1.4.0      2020-10-05 [1] CRAN (R 3.6.3)                      </w:t>
      </w:r>
      <w:r>
        <w:br/>
      </w:r>
      <w:r>
        <w:rPr>
          <w:rStyle w:val="VerbatimChar"/>
        </w:rPr>
        <w:t xml:space="preserve">#&gt;  readxl      * 1.3.1      2019-03-13 [1] CRAN (R 3.6.1)                      </w:t>
      </w:r>
      <w:r>
        <w:br/>
      </w:r>
      <w:r>
        <w:rPr>
          <w:rStyle w:val="VerbatimChar"/>
        </w:rPr>
        <w:t xml:space="preserve">#&gt;  remotes       2.2.0      2020-07-21 [1] CRAN (R 3.6.3)                      </w:t>
      </w:r>
      <w:r>
        <w:br/>
      </w:r>
      <w:r>
        <w:rPr>
          <w:rStyle w:val="VerbatimChar"/>
        </w:rPr>
        <w:t xml:space="preserve">#&gt;  reprex        0.3.0      2019-05-16 [1] CRAN (R 3.6.1)                      </w:t>
      </w:r>
      <w:r>
        <w:br/>
      </w:r>
      <w:r>
        <w:rPr>
          <w:rStyle w:val="VerbatimChar"/>
        </w:rPr>
        <w:t xml:space="preserve">#&gt;  rlang         0.4.9      2020-11-26 [1] CRAN (R 3.6.3)                      </w:t>
      </w:r>
      <w:r>
        <w:br/>
      </w:r>
      <w:r>
        <w:rPr>
          <w:rStyle w:val="VerbatimChar"/>
        </w:rPr>
        <w:t xml:space="preserve">#&gt;  rmarkdown     2.5        2020-10-21 [1] CRAN (R 3.6.3)                      </w:t>
      </w:r>
      <w:r>
        <w:br/>
      </w:r>
      <w:r>
        <w:rPr>
          <w:rStyle w:val="VerbatimChar"/>
        </w:rPr>
        <w:t xml:space="preserve">#&gt;  rprojroot     2.0.2      2020-11-15 [1] CRAN (R 3.6.3)                      </w:t>
      </w:r>
      <w:r>
        <w:br/>
      </w:r>
      <w:r>
        <w:rPr>
          <w:rStyle w:val="VerbatimChar"/>
        </w:rPr>
        <w:t xml:space="preserve">#&gt;  rstudioapi    0.13       2020-11-12 [1] CRAN (R 3.6.3)                      </w:t>
      </w:r>
      <w:r>
        <w:br/>
      </w:r>
      <w:r>
        <w:rPr>
          <w:rStyle w:val="VerbatimChar"/>
        </w:rPr>
        <w:t xml:space="preserve">#&gt;  Rttf2pt1      1.3.8      2020-01-10 [1] CRAN (R 3.6.2)                      </w:t>
      </w:r>
      <w:r>
        <w:br/>
      </w:r>
      <w:r>
        <w:rPr>
          <w:rStyle w:val="VerbatimChar"/>
        </w:rPr>
        <w:t xml:space="preserve">#&gt;  rvest         0.3.6      2020-07-25 [1] CRAN (R 3.6.3)                      </w:t>
      </w:r>
      <w:r>
        <w:br/>
      </w:r>
      <w:r>
        <w:rPr>
          <w:rStyle w:val="VerbatimChar"/>
        </w:rPr>
        <w:t xml:space="preserve">#&gt;  rworldmap   * 1.3-6      2016-02-03 [1] CRAN (R 3.6.1)                      </w:t>
      </w:r>
      <w:r>
        <w:br/>
      </w:r>
      <w:r>
        <w:rPr>
          <w:rStyle w:val="VerbatimChar"/>
        </w:rPr>
        <w:t xml:space="preserve">#&gt;  scales        1.1.1      2020-05-11 [1] CRAN (R 3.6.3)                      </w:t>
      </w:r>
      <w:r>
        <w:br/>
      </w:r>
      <w:r>
        <w:rPr>
          <w:rStyle w:val="VerbatimChar"/>
        </w:rPr>
        <w:t xml:space="preserve">#&gt;  sessioninfo   1.1.1      2018-11-05 [1] CRAN (R 3.6.1)                      </w:t>
      </w:r>
      <w:r>
        <w:br/>
      </w:r>
      <w:r>
        <w:rPr>
          <w:rStyle w:val="VerbatimChar"/>
        </w:rPr>
        <w:t xml:space="preserve">#&gt;  snakecase     0.11.0     2019-05-25 [1] CRAN (R 3.6.1)                      </w:t>
      </w:r>
      <w:r>
        <w:br/>
      </w:r>
      <w:r>
        <w:rPr>
          <w:rStyle w:val="VerbatimChar"/>
        </w:rPr>
        <w:t xml:space="preserve">#&gt;  sp          * 1.4-4      2020-10-07 [1] CRAN (R 3.6.3)                      </w:t>
      </w:r>
      <w:r>
        <w:br/>
      </w:r>
      <w:r>
        <w:rPr>
          <w:rStyle w:val="VerbatimChar"/>
        </w:rPr>
        <w:t xml:space="preserve">#&gt;  spam          2.5-1      2019-12-12 [1] CRAN (R 3.6.2)                      </w:t>
      </w:r>
      <w:r>
        <w:br/>
      </w:r>
      <w:r>
        <w:rPr>
          <w:rStyle w:val="VerbatimChar"/>
        </w:rPr>
        <w:t xml:space="preserve">#&gt;  stringi       1.5.3      2020-09-09 [1] CRAN (R 3.6.3)                      </w:t>
      </w:r>
      <w:r>
        <w:br/>
      </w:r>
      <w:r>
        <w:rPr>
          <w:rStyle w:val="VerbatimChar"/>
        </w:rPr>
        <w:t xml:space="preserve">#&gt;  stringr     * 1.4.0      2019-02-10 [3] CRAN (R 3.5.2)                      </w:t>
      </w:r>
      <w:r>
        <w:br/>
      </w:r>
      <w:r>
        <w:rPr>
          <w:rStyle w:val="VerbatimChar"/>
        </w:rPr>
        <w:t xml:space="preserve">#&gt;  systemfonts   0.3.2      2020-09-29 [1] CRAN (R 3.6.3)                      </w:t>
      </w:r>
      <w:r>
        <w:br/>
      </w:r>
      <w:r>
        <w:rPr>
          <w:rStyle w:val="VerbatimChar"/>
        </w:rPr>
        <w:t xml:space="preserve">#&gt;  testthat      3.0.0      2020-10-31 [1] CRAN (R 3.6.3)                      </w:t>
      </w:r>
      <w:r>
        <w:br/>
      </w:r>
      <w:r>
        <w:rPr>
          <w:rStyle w:val="VerbatimChar"/>
        </w:rPr>
        <w:t xml:space="preserve">#&gt;  tibble      * 3.0.4      2020-10-12 [1] CRAN (R 3.6.3)                      </w:t>
      </w:r>
      <w:r>
        <w:br/>
      </w:r>
      <w:r>
        <w:rPr>
          <w:rStyle w:val="VerbatimChar"/>
        </w:rPr>
        <w:t xml:space="preserve">#&gt;  tidyr       * 1.1.2      2020-08-27 [1] CRAN (R 3.6.3)                      </w:t>
      </w:r>
      <w:r>
        <w:br/>
      </w:r>
      <w:r>
        <w:rPr>
          <w:rStyle w:val="VerbatimChar"/>
        </w:rPr>
        <w:t xml:space="preserve">#&gt;  tidyselect    1.1.0      2020-05-11 [1] CRAN (R 3.6.3)                      </w:t>
      </w:r>
      <w:r>
        <w:br/>
      </w:r>
      <w:r>
        <w:rPr>
          <w:rStyle w:val="VerbatimChar"/>
        </w:rPr>
        <w:t xml:space="preserve">#&gt;  tidyverse   * 1.3.0.9000 2020-05-23 [1] Github (tidyverse/tidyverse@1d7f9b7)</w:t>
      </w:r>
      <w:r>
        <w:br/>
      </w:r>
      <w:r>
        <w:rPr>
          <w:rStyle w:val="VerbatimChar"/>
        </w:rPr>
        <w:t xml:space="preserve">#&gt;  usethis       1.6.3      2020-09-17 [1] CRAN (R 3.6.3)                      </w:t>
      </w:r>
      <w:r>
        <w:br/>
      </w:r>
      <w:r>
        <w:rPr>
          <w:rStyle w:val="VerbatimChar"/>
        </w:rPr>
        <w:t xml:space="preserve">#&gt;  vctrs         0.3.5      2020-11-17 [1] CRAN (R 3.6.3)                      </w:t>
      </w:r>
      <w:r>
        <w:br/>
      </w:r>
      <w:r>
        <w:rPr>
          <w:rStyle w:val="VerbatimChar"/>
        </w:rPr>
        <w:t xml:space="preserve">#&gt;  viridis     * 0.5.1      2018-03-29 [1] CRAN (R 3.6.1)                      </w:t>
      </w:r>
      <w:r>
        <w:br/>
      </w:r>
      <w:r>
        <w:rPr>
          <w:rStyle w:val="VerbatimChar"/>
        </w:rPr>
        <w:t xml:space="preserve">#&gt;  viridisLite * 0.3.0      2018-02-01 [3] CRAN (R 3.5.0)                      </w:t>
      </w:r>
      <w:r>
        <w:br/>
      </w:r>
      <w:r>
        <w:rPr>
          <w:rStyle w:val="VerbatimChar"/>
        </w:rPr>
        <w:t xml:space="preserve">#&gt;  vroom       * 1.3.2      2020-09-30 [1] CRAN (R 3.6.3)                      </w:t>
      </w:r>
      <w:r>
        <w:br/>
      </w:r>
      <w:r>
        <w:rPr>
          <w:rStyle w:val="VerbatimChar"/>
        </w:rPr>
        <w:t xml:space="preserve">#&gt;  wbstats     * 1.0.1      2020-07-26 [1] CRAN (R 3.6.3)                      </w:t>
      </w:r>
      <w:r>
        <w:br/>
      </w:r>
      <w:r>
        <w:rPr>
          <w:rStyle w:val="VerbatimChar"/>
        </w:rPr>
        <w:t xml:space="preserve">#&gt;  wesanderson * 0.3.6.9000 2020-04-13 [1] Github (karthik/wesanderson@d90700a)</w:t>
      </w:r>
      <w:r>
        <w:br/>
      </w:r>
      <w:r>
        <w:rPr>
          <w:rStyle w:val="VerbatimChar"/>
        </w:rPr>
        <w:t xml:space="preserve">#&gt;  withr         2.3.0      2020-09-22 [1] CRAN (R 3.6.3)                      </w:t>
      </w:r>
      <w:r>
        <w:br/>
      </w:r>
      <w:r>
        <w:rPr>
          <w:rStyle w:val="VerbatimChar"/>
        </w:rPr>
        <w:t xml:space="preserve">#&gt;  xfun          0.19       2020-10-30 [1] CRAN (R 3.6.3)                      </w:t>
      </w:r>
      <w:r>
        <w:br/>
      </w:r>
      <w:r>
        <w:rPr>
          <w:rStyle w:val="VerbatimChar"/>
        </w:rPr>
        <w:t xml:space="preserve">#&gt;  xml2          1.3.2      2020-04-23 [1] CRAN (R 3.6.2)                      </w:t>
      </w:r>
      <w:r>
        <w:br/>
      </w:r>
      <w:r>
        <w:rPr>
          <w:rStyle w:val="VerbatimChar"/>
        </w:rPr>
        <w:t xml:space="preserve">#&gt;  yaml          2.2.1      2020-02-01 [1] CRAN (R 3.6.2)                      </w:t>
      </w:r>
      <w:r>
        <w:br/>
      </w:r>
      <w:r>
        <w:rPr>
          <w:rStyle w:val="VerbatimChar"/>
        </w:rPr>
        <w:t xml:space="preserve">#&gt; </w:t>
      </w:r>
      <w:r>
        <w:br/>
      </w:r>
      <w:r>
        <w:rPr>
          <w:rStyle w:val="VerbatimChar"/>
        </w:rPr>
        <w:t xml:space="preserve">#&gt; [1] /home/pichler/R/x86_64-pc-linux-gnu-library/3.6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/home/pichler/gits/europe.inequality</w:t>
      </w:r>
      <w:r>
        <w:br/>
      </w:r>
      <w:r>
        <w:rPr>
          <w:rStyle w:val="VerbatimChar"/>
        </w:rPr>
        <w:t xml:space="preserve">#&gt; Remote:   master @ origin (git@gitlab.pik-potsdam.de:pichler/europe.inequality.git)</w:t>
      </w:r>
      <w:r>
        <w:br/>
      </w:r>
      <w:r>
        <w:rPr>
          <w:rStyle w:val="VerbatimChar"/>
        </w:rPr>
        <w:t xml:space="preserve">#&gt; Head:     [f444758] 2020-12-09: edit si</w:t>
      </w:r>
    </w:p>
    <w:bookmarkEnd w:id="48"/>
    <w:bookmarkEnd w:id="49"/>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df" /><Relationship Type="http://schemas.openxmlformats.org/officeDocument/2006/relationships/image" Id="rId23" Target="media/rId23.pdf" /><Relationship Type="http://schemas.openxmlformats.org/officeDocument/2006/relationships/image" Id="rId25" Target="media/rId25.pdf" /><Relationship Type="http://schemas.openxmlformats.org/officeDocument/2006/relationships/image" Id="rId28" Target="media/rId28.pdf" /><Relationship Type="http://schemas.openxmlformats.org/officeDocument/2006/relationships/image" Id="rId30" Target="media/rId30.pdf" /><Relationship Type="http://schemas.openxmlformats.org/officeDocument/2006/relationships/hyperlink" Id="rId37"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3" Target="https://doi.org/10.1016/j.gloenvcha.2020.102168" TargetMode="External" /><Relationship Type="http://schemas.openxmlformats.org/officeDocument/2006/relationships/hyperlink" Id="rId35" Target="https://doi.org/10.1038/s41558-018-0121-1" TargetMode="External" /><Relationship Type="http://schemas.openxmlformats.org/officeDocument/2006/relationships/hyperlink" Id="rId45" Target="https://doi.org/10.1038/s41560-020-0579-8" TargetMode="External" /><Relationship Type="http://schemas.openxmlformats.org/officeDocument/2006/relationships/hyperlink" Id="rId41" Target="https://doi.org/10.1088/1748-9326/aa6da9" TargetMode="External" /><Relationship Type="http://schemas.openxmlformats.org/officeDocument/2006/relationships/hyperlink" Id="rId39" Target="https://doi.org/10.1088/1748-9326/ab8589" TargetMode="External" /></Relationships>
</file>

<file path=word/_rels/footnotes.xml.rels><?xml version="1.0" encoding="UTF-8"?>
<Relationships xmlns="http://schemas.openxmlformats.org/package/2006/relationships"><Relationship Type="http://schemas.openxmlformats.org/officeDocument/2006/relationships/hyperlink" Id="rId37"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3" Target="https://doi.org/10.1016/j.gloenvcha.2020.102168" TargetMode="External" /><Relationship Type="http://schemas.openxmlformats.org/officeDocument/2006/relationships/hyperlink" Id="rId35" Target="https://doi.org/10.1038/s41558-018-0121-1" TargetMode="External" /><Relationship Type="http://schemas.openxmlformats.org/officeDocument/2006/relationships/hyperlink" Id="rId45" Target="https://doi.org/10.1038/s41560-020-0579-8" TargetMode="External" /><Relationship Type="http://schemas.openxmlformats.org/officeDocument/2006/relationships/hyperlink" Id="rId41" Target="https://doi.org/10.1088/1748-9326/aa6da9" TargetMode="External" /><Relationship Type="http://schemas.openxmlformats.org/officeDocument/2006/relationships/hyperlink" Id="rId39" Target="https://doi.org/10.1088/1748-9326/ab8589"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2020-12-11T13:52:49Z</dcterms:created>
  <dcterms:modified xsi:type="dcterms:W3CDTF">2020-12-11T13:52:49Z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11 Dezember, 2020</vt:lpwstr>
  </property>
  <property fmtid="{D5CDD505-2E9C-101B-9397-08002B2CF9AE}" pid="6" name="highlights">
    <vt:lpwstr>These are the highlights.</vt:lpwstr>
  </property>
  <property fmtid="{D5CDD505-2E9C-101B-9397-08002B2CF9AE}" pid="7" name="output">
    <vt:lpwstr/>
  </property>
</Properties>
</file>