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19</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energy and carbon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We discuss some implications for policy through the paper.</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energy and carbon footprints per European expenditure decile in the context of decarbonization scenarios, we adjust total final energy use per capita output from the scenarios to household final energy use per adult equivalent. As inequality measure through the study, we divide the average value of the population in the top decile by that of the bottom decile, a 10:10 ratio. For example, in expenditure, a 10:10 ratio of 5 means that adult equivalents in the top decile spend 5 times more on average than those in the bottom decile.All data and procedures are described in detail in the supplementary information (SI).</w:t>
      </w:r>
    </w:p>
    <w:p>
      <w:pPr>
        <w:pStyle w:val="Heading1"/>
      </w:pPr>
      <w:bookmarkStart w:id="22" w:name="results"/>
      <w:r>
        <w:t xml:space="preserve">Results</w:t>
      </w:r>
      <w:bookmarkEnd w:id="22"/>
    </w:p>
    <w:p>
      <w:pPr>
        <w:pStyle w:val="Heading2"/>
      </w:pPr>
      <w:bookmarkStart w:id="23" w:name="Xf747c58a9d0a64ae10cceca5fbb3b077f7c0aec"/>
      <w:r>
        <w:t xml:space="preserve">Environmental footprints are less unequal than expenditure levels</w:t>
      </w:r>
      <w:bookmarkEnd w:id="23"/>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measured as energy use per € expenditure (d) and the carbon intensity measured as carbon per unit of energy use (f) gradually decrease from bottom to top expenditure decile. The average energy intensity of consumption decreased from 25.2 MJ/€ in the bottom decile to less than half (12 MJ/€) in the top decile. Additionally, the carbon intensity of energy use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environmental footprints and intensities across European expenditure deciles. Total expenditures (a), energy footprint (b), and carbon footprint (c) per decile. Energy intensity as energy footprint per expenditure (d), carbon intensity as carbon footprint per expenditure (e), and carbon intensity as carbon footprint per energy footprint (f).</w:t>
      </w:r>
    </w:p>
    <w:p>
      <w:pPr>
        <w:pStyle w:val="BodyText"/>
      </w:pPr>
      <w:r>
        <w:t xml:space="preserve">Figures 1d-e show that energy and carbon intensities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that is more than 3 times higher in the bottom decile (7.5 kgCO2eq/€) than in the top decile (2 kgCO2eq/€). Households in the top decile spend about 55.2% in the service sector that has the lowest carbon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carbon intensity per MJ of heat delivered than both Europe and the world (XXX). These differences in specific energy and carbon intensities in basic services sectors (especially shelter) account for the smaller inequality between expenditure deciles in terms of environmental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the carbon nor in the energy footprint). Especially the lower four expenditure deciles have high carbon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carbon and 4.9 for energy) and then food (10:10 ratios of 2.1 for both footprints).</w:t>
      </w:r>
    </w:p>
    <w:p>
      <w:pPr>
        <w:pStyle w:val="CaptionedFigure"/>
      </w:pPr>
      <w:r>
        <w:drawing>
          <wp:inline>
            <wp:extent cx="5943600" cy="3714750"/>
            <wp:effectExtent b="0" l="0" r="0" t="0"/>
            <wp:docPr descr="Figure 3: Energy and carbon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demand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 These results suggest that proposed future carbon border-adjustment mechanisms will especially impact the manufactured goods and transport footprints of the higher deciles, and to a lesser extent the food and services footprints, depending on mechanism design.</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(Piketty and Chancel, 2015, pp. @kartha_carbon_2020 @gore_extreme_2015 @hubacek_global_2017–1 @ivanova_unequal_2020 @wiedenhofer_unequal_2017 @golley_income_2012 @steenolsen_carbon_2016 @weber_quantifying_2008 @hardadi_implications_2020 @oswald_large_2020)</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(Berthe and Elie, 2015, p. @scruggs_political_1998)</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(Sommer and Kratena, 2017, p. @kerkhof_determinants_200)</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(Bianco et al., 2019)</w:t>
      </w:r>
      <w:r>
        <w:t xml:space="preserve">. Efforts to break consumer lock-in to these high intensities must be occurring alongside policies that seek to reduce aggregate consumption and intensities higher up in the economic distribution.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sweeping poverty reduction in many regions of the world may put achieving global climate targets at risk (ref - Hubacek). In the European context, although less unequal than the globe as a whole, if/as lower-consumption groups increase their income and consumption, energy use and carbon emissions will increase if more efficient and cleaner technology is not adopted at a fast enough rate.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4" w:name="refs-to-add"/>
      <w:r>
        <w:t xml:space="preserve">refs to add</w:t>
      </w:r>
      <w:bookmarkEnd w:id="34"/>
    </w:p>
    <w:p>
      <w:pPr>
        <w:pStyle w:val="FirstParagraph"/>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5" w:name="acknowledgements"/>
      <w:r>
        <w:t xml:space="preserve">Acknowledgements</w:t>
      </w:r>
      <w:bookmarkEnd w:id="35"/>
    </w:p>
    <w:p>
      <w:r>
        <w:br w:type="page"/>
      </w:r>
    </w:p>
    <w:p>
      <w:pPr>
        <w:pStyle w:val="Heading1"/>
      </w:pPr>
      <w:bookmarkStart w:id="36" w:name="references"/>
      <w:r>
        <w:t xml:space="preserve">References</w:t>
      </w:r>
      <w:bookmarkEnd w:id="36"/>
    </w:p>
    <w:bookmarkStart w:id="72" w:name="refs"/>
    <w:bookmarkStart w:id="37"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7"/>
    <w:bookmarkStart w:id="39"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8">
        <w:r>
          <w:rPr>
            <w:rStyle w:val="Hyperlink"/>
          </w:rPr>
          <w:t xml:space="preserve">https://doi.org/10.1016/j.ecolecon.2015.04.026</w:t>
        </w:r>
      </w:hyperlink>
    </w:p>
    <w:bookmarkEnd w:id="39"/>
    <w:bookmarkStart w:id="41"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40">
        <w:r>
          <w:rPr>
            <w:rStyle w:val="Hyperlink"/>
          </w:rPr>
          <w:t xml:space="preserve">https://doi.org/10.1016/j.energy.2018.12.120</w:t>
        </w:r>
      </w:hyperlink>
    </w:p>
    <w:bookmarkEnd w:id="41"/>
    <w:bookmarkStart w:id="43"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2">
        <w:r>
          <w:rPr>
            <w:rStyle w:val="Hyperlink"/>
          </w:rPr>
          <w:t xml:space="preserve">https://doi.org/10.1038/s41558-018-0121-1</w:t>
        </w:r>
      </w:hyperlink>
    </w:p>
    <w:bookmarkEnd w:id="43"/>
    <w:bookmarkStart w:id="45" w:name="ref-golley_income_2012"/>
    <w:p>
      <w:pPr>
        <w:pStyle w:val="Bibliography"/>
      </w:pPr>
      <w:r>
        <w:t xml:space="preserve">Golley, J., Meng, X., 2012. Income inequality and carbon dioxide emissions: The case of Chinese urban households. Energy Economics 34, 1864–1872.</w:t>
      </w:r>
      <w:r>
        <w:t xml:space="preserve"> </w:t>
      </w:r>
      <w:hyperlink r:id="rId44">
        <w:r>
          <w:rPr>
            <w:rStyle w:val="Hyperlink"/>
          </w:rPr>
          <w:t xml:space="preserve">https://doi.org/10.1016/j.eneco.2012.07.025</w:t>
        </w:r>
      </w:hyperlink>
    </w:p>
    <w:bookmarkEnd w:id="45"/>
    <w:bookmarkStart w:id="46" w:name="ref-gore_extreme_2015"/>
    <w:p>
      <w:pPr>
        <w:pStyle w:val="Bibliography"/>
      </w:pPr>
      <w:r>
        <w:t xml:space="preserve">Gore, T., 2015. Extreme Carbon Inequality: Why the Paris climate deal must put the poorest, lowest emitting and most vulnerable people first.</w:t>
      </w:r>
    </w:p>
    <w:bookmarkEnd w:id="46"/>
    <w:bookmarkStart w:id="48"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7">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8"/>
    <w:bookmarkStart w:id="50"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9">
        <w:r>
          <w:rPr>
            <w:rStyle w:val="Hyperlink"/>
          </w:rPr>
          <w:t xml:space="preserve">https://doi.org/10.1111/jiec.13045</w:t>
        </w:r>
      </w:hyperlink>
    </w:p>
    <w:bookmarkEnd w:id="50"/>
    <w:bookmarkStart w:id="52" w:name="ref-hubacek_global_2017-1"/>
    <w:p>
      <w:pPr>
        <w:pStyle w:val="Bibliography"/>
      </w:pPr>
      <w:r>
        <w:t xml:space="preserve">Hubacek, K., Baiocchi, G., Feng, K., Muñoz Castillo, R., Sun, L., Xue, J., 2017. Global carbon inequality. Energy, Ecology and Environment 2, 361–369.</w:t>
      </w:r>
      <w:r>
        <w:t xml:space="preserve"> </w:t>
      </w:r>
      <w:hyperlink r:id="rId51">
        <w:r>
          <w:rPr>
            <w:rStyle w:val="Hyperlink"/>
          </w:rPr>
          <w:t xml:space="preserve">https://doi.org/10.1007/s40974-017-0072-9</w:t>
        </w:r>
      </w:hyperlink>
    </w:p>
    <w:bookmarkEnd w:id="52"/>
    <w:bookmarkStart w:id="54"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3">
        <w:r>
          <w:rPr>
            <w:rStyle w:val="Hyperlink"/>
          </w:rPr>
          <w:t xml:space="preserve">https://doi.org/10.1088/1748-9326/ab8589</w:t>
        </w:r>
      </w:hyperlink>
    </w:p>
    <w:bookmarkEnd w:id="54"/>
    <w:bookmarkStart w:id="56"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5">
        <w:r>
          <w:rPr>
            <w:rStyle w:val="Hyperlink"/>
          </w:rPr>
          <w:t xml:space="preserve">https://doi.org/10.1111/jiec.12371</w:t>
        </w:r>
      </w:hyperlink>
    </w:p>
    <w:bookmarkEnd w:id="56"/>
    <w:bookmarkStart w:id="58"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7">
        <w:r>
          <w:rPr>
            <w:rStyle w:val="Hyperlink"/>
          </w:rPr>
          <w:t xml:space="preserve">https://doi.org/10.1017/sus.2020.12</w:t>
        </w:r>
      </w:hyperlink>
    </w:p>
    <w:bookmarkEnd w:id="58"/>
    <w:bookmarkStart w:id="59" w:name="ref-kartha_carbon_2020"/>
    <w:p>
      <w:pPr>
        <w:pStyle w:val="Bibliography"/>
      </w:pPr>
      <w:r>
        <w:t xml:space="preserve">Kartha, S., Kemp-Benedict, E., Ghosh, E., Nazareth, A., 2020. The Carbon Inequality Era.</w:t>
      </w:r>
    </w:p>
    <w:bookmarkEnd w:id="59"/>
    <w:bookmarkStart w:id="61"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60">
        <w:r>
          <w:rPr>
            <w:rStyle w:val="Hyperlink"/>
          </w:rPr>
          <w:t xml:space="preserve">https://doi.org/10.1016/j.gloenvcha.2020.102168</w:t>
        </w:r>
      </w:hyperlink>
    </w:p>
    <w:bookmarkEnd w:id="61"/>
    <w:bookmarkStart w:id="63"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2">
        <w:r>
          <w:rPr>
            <w:rStyle w:val="Hyperlink"/>
          </w:rPr>
          <w:t xml:space="preserve">https://doi.org/10.1038/s41560-020-0579-8</w:t>
        </w:r>
      </w:hyperlink>
    </w:p>
    <w:bookmarkEnd w:id="63"/>
    <w:bookmarkStart w:id="64"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4"/>
    <w:bookmarkStart w:id="65" w:name="ref-scruggs_political_1998"/>
    <w:p>
      <w:pPr>
        <w:pStyle w:val="Bibliography"/>
      </w:pPr>
      <w:r>
        <w:t xml:space="preserve">Scruggs, L., 1998. Political and economic inequality and the environment. Ecological Economics 26, 259–275.</w:t>
      </w:r>
    </w:p>
    <w:bookmarkEnd w:id="65"/>
    <w:bookmarkStart w:id="66" w:name="ref-sommer_carbon_2017"/>
    <w:p>
      <w:pPr>
        <w:pStyle w:val="Bibliography"/>
      </w:pPr>
      <w:r>
        <w:t xml:space="preserve">Sommer, M., Kratena, K., 2017. The Carbon Footprint of European Households and Income Distribution. Ecological Economics 136, 62–72.</w:t>
      </w:r>
    </w:p>
    <w:bookmarkEnd w:id="66"/>
    <w:bookmarkStart w:id="68"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7">
        <w:r>
          <w:rPr>
            <w:rStyle w:val="Hyperlink"/>
          </w:rPr>
          <w:t xml:space="preserve">https://doi.org/10.1111/jiec.12405</w:t>
        </w:r>
      </w:hyperlink>
    </w:p>
    <w:bookmarkEnd w:id="68"/>
    <w:bookmarkStart w:id="70"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9">
        <w:r>
          <w:rPr>
            <w:rStyle w:val="Hyperlink"/>
          </w:rPr>
          <w:t xml:space="preserve">https://doi.org/10.1016/j.ecolecon.2007.09.021</w:t>
        </w:r>
      </w:hyperlink>
    </w:p>
    <w:bookmarkEnd w:id="70"/>
    <w:bookmarkStart w:id="71" w:name="ref-wiedenhofer_unequal_2017"/>
    <w:p>
      <w:pPr>
        <w:pStyle w:val="Bibliography"/>
      </w:pPr>
      <w:r>
        <w:t xml:space="preserve">Wiedenhofer, D., Guan, D., Liu, Z., Meng, J., Zhang, N., Wei, Y.-M., 2017. Unequal household carbon footprints in China. Nature Climate Change 7, 75–80.</w:t>
      </w:r>
    </w:p>
    <w:bookmarkEnd w:id="71"/>
    <w:bookmarkEnd w:id="72"/>
    <w:p>
      <w:r>
        <w:br w:type="page"/>
      </w:r>
    </w:p>
    <w:p>
      <w:pPr>
        <w:pStyle w:val="Heading3"/>
      </w:pPr>
      <w:bookmarkStart w:id="73" w:name="colophon"/>
      <w:r>
        <w:t xml:space="preserve">Colophon</w:t>
      </w:r>
      <w:bookmarkEnd w:id="73"/>
    </w:p>
    <w:p>
      <w:pPr>
        <w:pStyle w:val="FirstParagraph"/>
      </w:pPr>
      <w:r>
        <w:t xml:space="preserve">This report was generated on 2021-01-19 06:18:17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[d9301c0] 2021-01-19: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1" Target="https://doi.org/10.1007/s40974-017-0072-9" TargetMode="External" /><Relationship Type="http://schemas.openxmlformats.org/officeDocument/2006/relationships/hyperlink" Id="rId69" Target="https://doi.org/10.1016/j.ecolecon.2007.09.021" TargetMode="External" /><Relationship Type="http://schemas.openxmlformats.org/officeDocument/2006/relationships/hyperlink" Id="rId38" Target="https://doi.org/10.1016/j.ecolecon.2015.04.026" TargetMode="External" /><Relationship Type="http://schemas.openxmlformats.org/officeDocument/2006/relationships/hyperlink" Id="rId44" Target="https://doi.org/10.1016/j.eneco.2012.07.025" TargetMode="External" /><Relationship Type="http://schemas.openxmlformats.org/officeDocument/2006/relationships/hyperlink" Id="rId40" Target="https://doi.org/10.1016/j.energy.2018.12.120" TargetMode="External" /><Relationship Type="http://schemas.openxmlformats.org/officeDocument/2006/relationships/hyperlink" Id="rId60" Target="https://doi.org/10.1016/j.gloenvcha.2020.102168" TargetMode="External" /><Relationship Type="http://schemas.openxmlformats.org/officeDocument/2006/relationships/hyperlink" Id="rId57" Target="https://doi.org/10.1017/sus.2020.12" TargetMode="External" /><Relationship Type="http://schemas.openxmlformats.org/officeDocument/2006/relationships/hyperlink" Id="rId42" Target="https://doi.org/10.1038/s41558-018-0121-1" TargetMode="External" /><Relationship Type="http://schemas.openxmlformats.org/officeDocument/2006/relationships/hyperlink" Id="rId62" Target="https://doi.org/10.1038/s41560-020-0579-8" TargetMode="External" /><Relationship Type="http://schemas.openxmlformats.org/officeDocument/2006/relationships/hyperlink" Id="rId53" Target="https://doi.org/10.1088/1748-9326/ab8589" TargetMode="External" /><Relationship Type="http://schemas.openxmlformats.org/officeDocument/2006/relationships/hyperlink" Id="rId55" Target="https://doi.org/10.1111/jiec.12371" TargetMode="External" /><Relationship Type="http://schemas.openxmlformats.org/officeDocument/2006/relationships/hyperlink" Id="rId67" Target="https://doi.org/10.1111/jiec.12405" TargetMode="External" /><Relationship Type="http://schemas.openxmlformats.org/officeDocument/2006/relationships/hyperlink" Id="rId49" Target="https://doi.org/10.1111/jiec.13045" TargetMode="External" /><Relationship Type="http://schemas.openxmlformats.org/officeDocument/2006/relationships/hyperlink" Id="rId47"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2021-01-19T05:18:22Z</dcterms:created>
  <dcterms:modified xsi:type="dcterms:W3CDTF">2021-01-19T05:18:22Z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19 Januar, 2021</vt:lpwstr>
  </property>
  <property fmtid="{D5CDD505-2E9C-101B-9397-08002B2CF9AE}" pid="6" name="highlights">
    <vt:lpwstr>These are the highlights.</vt:lpwstr>
  </property>
  <property fmtid="{D5CDD505-2E9C-101B-9397-08002B2CF9AE}" pid="7" name="output">
    <vt:lpwstr/>
  </property>
</Properties>
</file>