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df" ContentType="application/pdf"/>
  <Override PartName="/word/media/rId25.pdf" ContentType="application/pdf"/>
  <Override PartName="/word/media/rId27.pdf" ContentType="application/pdf"/>
  <Override PartName="/word/media/rId30.pdf" ContentType="application/pdf"/>
  <Override PartName="/word/media/rId32.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04</w:t>
      </w:r>
      <w:r>
        <w:t xml:space="preserve"> </w:t>
      </w:r>
      <w:r>
        <w:t xml:space="preserve">Dezember,</w:t>
      </w:r>
      <w:r>
        <w:t xml:space="preserve"> </w:t>
      </w:r>
      <w:r>
        <w:t xml:space="preserve">2020</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SourceCode"/>
      </w:pPr>
      <w:r>
        <w:rPr>
          <w:rStyle w:val="VerbatimChar"/>
        </w:rPr>
        <w:t xml:space="preserve">## here() starts at /home/pichler/gits/europe.inequality</w:t>
      </w:r>
    </w:p>
    <w:bookmarkStart w:id="20" w:name="introduction"/>
    <w:p>
      <w:pPr>
        <w:pStyle w:val="Heading1"/>
      </w:pPr>
      <w:r>
        <w:rPr>
          <w:rStyle w:val="SectionNumber"/>
        </w:rPr>
        <w:t xml:space="preserve">1</w:t>
      </w:r>
      <w:r>
        <w:tab/>
      </w:r>
      <w:r>
        <w:t xml:space="preserve">Introduction</w:t>
      </w:r>
    </w:p>
    <w:bookmarkEnd w:id="20"/>
    <w:bookmarkStart w:id="21" w:name="introduction-1"/>
    <w:p>
      <w:pPr>
        <w:pStyle w:val="Heading1"/>
      </w:pPr>
      <w:r>
        <w:rPr>
          <w:rStyle w:val="SectionNumber"/>
        </w:rPr>
        <w:t xml:space="preserve">2</w:t>
      </w:r>
      <w:r>
        <w:tab/>
      </w:r>
      <w:r>
        <w:t xml:space="preserve">Introduction</w:t>
      </w:r>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(Creutzig et al., 2018)</w:t>
      </w:r>
      <w:r>
        <w:t xml:space="preserve"> </w:t>
      </w:r>
      <w:r>
        <w:t xml:space="preserve">there are lower limits to how much energy is minimally required for a decent life</w:t>
      </w:r>
      <w:r>
        <w:t xml:space="preserve"> </w:t>
      </w:r>
      <w:r>
        <w:t xml:space="preserve">Millward-Hopkins et al. (2020)</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In 2016, the average energy footprint of EU citizens was X Gj and the carbon footprint X tonnes CO2e per capita</w:t>
      </w:r>
      <w:r>
        <w:t xml:space="preserve"> </w:t>
      </w:r>
      <w:r>
        <w:t xml:space="preserve">(Ivanova et al., 2017)</w:t>
      </w:r>
      <w:r>
        <w:t xml:space="preserve">. However, the differences in average energy and carbon footprints are large within and between different regions in the EU. Energy footprints ranged from X to Y in 2016</w:t>
      </w:r>
      <w:r>
        <w:t xml:space="preserve"> </w:t>
      </w:r>
      <w:r>
        <w:t xml:space="preserve">(Oswald et al., 2020)</w:t>
      </w:r>
      <w:r>
        <w:t xml:space="preserve"> </w:t>
      </w:r>
      <w:r>
        <w:t xml:space="preserve">and carbon footprints between X and Y in the same year</w:t>
      </w:r>
      <w:r>
        <w:t xml:space="preserve"> </w:t>
      </w:r>
      <w:r>
        <w:t xml:space="preserve">(Ivanova et al., 2017)</w:t>
      </w:r>
      <w:r>
        <w:t xml:space="preserve">. Depending on the assumptions of different global mitigation scenarios, the average footprints need to be reduced to between X and Y GJ or X and Y tCO2e per capita by 2050, respectively.</w:t>
      </w:r>
    </w:p>
    <w:p>
      <w:pPr>
        <w:pStyle w:val="BodyText"/>
      </w:pPr>
      <w:r>
        <w:t xml:space="preserve">We assess under what conditions European energy inequality is compatible with the achievement of global climate goals and a decent standard of living following these steps.</w:t>
      </w:r>
    </w:p>
    <w:p>
      <w:pPr>
        <w:numPr>
          <w:ilvl w:val="0"/>
          <w:numId w:val="1001"/>
        </w:numPr>
      </w:pPr>
      <w:r>
        <w:t xml:space="preserve">We first construct common European expenditure deciles based on national income stratified household expenditure data covering 30 European countries further stratified by 5 consumption sectors.</w:t>
      </w:r>
    </w:p>
    <w:p>
      <w:pPr>
        <w:numPr>
          <w:ilvl w:val="0"/>
          <w:numId w:val="1001"/>
        </w:numPr>
      </w:pPr>
      <w:r>
        <w:t xml:space="preserve">We then calculate average household GHG and energy footprints per European expenditure decile and consumption sector to explore the current structure of energy and carbon intensities across these categories.</w:t>
      </w:r>
    </w:p>
    <w:p>
      <w:pPr>
        <w:numPr>
          <w:ilvl w:val="0"/>
          <w:numId w:val="1001"/>
        </w:numPr>
      </w:pPr>
      <w:r>
        <w:t xml:space="preserve">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w:t>
      </w:r>
    </w:p>
    <w:p>
      <w:pPr>
        <w:numPr>
          <w:ilvl w:val="0"/>
          <w:numId w:val="1001"/>
        </w:numPr>
      </w:pPr>
      <w:r>
        <w:t xml:space="preserve">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w:t>
      </w:r>
    </w:p>
    <w:p>
      <w:pPr>
        <w:numPr>
          <w:ilvl w:val="0"/>
          <w:numId w:val="1001"/>
        </w:numPr>
      </w:pPr>
      <w:r>
        <w:t xml:space="preserve">we discuss implications for policy (GND, doughnut etc) and whatnot</w:t>
      </w:r>
    </w:p>
    <w:p>
      <w:pPr>
        <w:numPr>
          <w:ilvl w:val="0"/>
          <w:numId w:val="1001"/>
        </w:numPr>
      </w:pPr>
      <w:r>
        <w:t xml:space="preserve">additional line of inquiry: how much of those emissions is non-eu?</w:t>
      </w:r>
    </w:p>
    <w:bookmarkEnd w:id="21"/>
    <w:bookmarkStart w:id="22" w:name="background"/>
    <w:p>
      <w:pPr>
        <w:pStyle w:val="Heading1"/>
      </w:pPr>
      <w:r>
        <w:rPr>
          <w:rStyle w:val="SectionNumber"/>
        </w:rPr>
        <w:t xml:space="preserve">3</w:t>
      </w:r>
      <w:r>
        <w:tab/>
      </w:r>
      <w:r>
        <w:t xml:space="preserve">Background</w:t>
      </w:r>
    </w:p>
    <w:bookmarkEnd w:id="22"/>
    <w:bookmarkStart w:id="23" w:name="methods"/>
    <w:p>
      <w:pPr>
        <w:pStyle w:val="Heading1"/>
      </w:pPr>
      <w:r>
        <w:rPr>
          <w:rStyle w:val="SectionNumber"/>
        </w:rPr>
        <w:t xml:space="preserve">4</w:t>
      </w:r>
      <w:r>
        <w:tab/>
      </w:r>
      <w:r>
        <w:t xml:space="preserve">Methods</w:t>
      </w:r>
    </w:p>
    <w:p>
      <w:pPr>
        <w:pStyle w:val="FirstParagraph"/>
      </w:pPr>
      <w:r>
        <w:t xml:space="preserve">Terms to define:</w:t>
      </w:r>
    </w:p>
    <w:p>
      <w:pPr>
        <w:numPr>
          <w:ilvl w:val="0"/>
          <w:numId w:val="1002"/>
        </w:numPr>
      </w:pPr>
      <w:r>
        <w:rPr>
          <w:i/>
        </w:rPr>
        <w:t xml:space="preserve">Adult equivalents: we use households as unit of analysis because it is the most relevant unit. Because household sizes are different in different countries and income groups we use adult equivalent units made by Eurostat for this purpose.</w:t>
      </w:r>
    </w:p>
    <w:p>
      <w:pPr>
        <w:numPr>
          <w:ilvl w:val="0"/>
          <w:numId w:val="1002"/>
        </w:numPr>
      </w:pPr>
      <w:r>
        <w:rPr>
          <w:i/>
        </w:rPr>
        <w:t xml:space="preserve">European deciles: we aggregate the data of 30 European countries with 5 income groups each into 10 European expenditure groups. we call this European, but some are missing and Turkey is there.</w:t>
      </w:r>
    </w:p>
    <w:p>
      <w:pPr>
        <w:numPr>
          <w:ilvl w:val="0"/>
          <w:numId w:val="1002"/>
        </w:numPr>
      </w:pPr>
      <w:r>
        <w:rPr>
          <w:i/>
        </w:rPr>
        <w:t xml:space="preserve">10:10 ratio: is a measure of inequality in quantile distributions. we here mean that we divide the average value of the population in the top decile by that of the bottom decile. for expenditure, for example, a 10:10 ratio of 5 means that households in the top decile spend 5 times more on average than those in the bottom decile.</w:t>
      </w:r>
    </w:p>
    <w:p>
      <w:pPr>
        <w:numPr>
          <w:ilvl w:val="0"/>
          <w:numId w:val="1002"/>
        </w:numPr>
      </w:pPr>
      <w:r>
        <w:rPr>
          <w:i/>
        </w:rPr>
        <w:t xml:space="preserve">Ressource footprints: energy, what type, GHGs what gases, including direct</w:t>
      </w:r>
    </w:p>
    <w:p>
      <w:pPr>
        <w:numPr>
          <w:ilvl w:val="0"/>
          <w:numId w:val="1002"/>
        </w:numPr>
      </w:pPr>
      <w:r>
        <w:rPr>
          <w:i/>
        </w:rPr>
        <w:t xml:space="preserve">MRIO</w:t>
      </w:r>
    </w:p>
    <w:bookmarkEnd w:id="23"/>
    <w:bookmarkStart w:id="29" w:name="results"/>
    <w:p>
      <w:pPr>
        <w:pStyle w:val="Heading1"/>
      </w:pPr>
      <w:r>
        <w:rPr>
          <w:rStyle w:val="SectionNumber"/>
        </w:rPr>
        <w:t xml:space="preserve">5</w:t>
      </w:r>
      <w:r>
        <w:tab/>
      </w:r>
      <w:r>
        <w:t xml:space="preserve">Results</w:t>
      </w:r>
    </w:p>
    <w:bookmarkStart w:id="26" w:name="X26300b2b5605988fcaa0fef1c2d3a9c6379bd1b"/>
    <w:p>
      <w:pPr>
        <w:pStyle w:val="Heading2"/>
      </w:pPr>
      <w:r>
        <w:rPr>
          <w:rStyle w:val="SectionNumber"/>
        </w:rPr>
        <w:t xml:space="preserve">5.1</w:t>
      </w:r>
      <w:r>
        <w:tab/>
      </w:r>
      <w:r>
        <w:t xml:space="preserve">Resource footprints are less unequal than expenditure levels</w:t>
      </w:r>
    </w:p>
    <w:p>
      <w:pPr>
        <w:pStyle w:val="FirstParagraph"/>
      </w:pPr>
      <w:r>
        <w:t xml:space="preserve">Consumption-based indicators such as the energy and greenhouse gas footprint of households are largely determined by their spending levels. An inequality of household expenditures in a population therefore implies an inequality of their resource footprints. Figures 1a-c show European households by decile of expenditure and their associated resource footprints for GHGs and energy in 2015. The figures show that increasing expenditure generally translated into larger resource footprints, but that the inequality decreased from expenditure to energy to greenhouse gas emissions with 10:10 ratios (the top decile divided by the bottom decile) of 7, 3.5 and 2.6, respectively. Total expenditure ranged from 0.2 trn€ to 1.2trn€ (or X to Y per adult equivalent) across bottom and top decile, the energy footprint from 4.5 EJ to 15 EJ (or 132GJ/ae to 457 GJ/ae), and the GHG footprint from 220 MtCO2eq to 610 MtCO2eq (or 7 tCO2eq/ae to 18.1 tCO2eq/ae). The reason for this is evident from figures 1d-f. Both the energy intensity measured as energy use per € expenditure (d) and the carbon intensity measured as GHGs per unit of energy use (f) gradually decrease from bottom to top expenditure decile. The average energy intensity of consumption decreased from 25 MJ/€ in the bottom decile to less than half (12 MJ/€) in the top decile. Additionally, the GHG intensity of energy use was also higher in the bottom decile (53gCO2eq/TJ) compared to the top decile (40 gCO2eq/TJ). There is a clear trend of decreasing intensities across expenditure deciles even though the variance in the lower deciles is much higher. The GHG intensity of consumption (figure 1e) combines the effects of the intensities of 1d and 1f. [</w:t>
      </w:r>
      <w:r>
        <w:rPr>
          <w:i/>
        </w:rPr>
        <w:t xml:space="preserve">The higher GHG intensity of energy use is likely due to a larger share of emission intensive energy carriers in the energy system. The decreasing energy intensity per expenditure is due to either inefficient energy technologies or energy subsidies in poorer areas in Europe.</w:t>
      </w:r>
      <w:r>
        <w:t xml:space="preserve">]</w:t>
      </w:r>
    </w:p>
    <w:p>
      <w:pPr>
        <w:pStyle w:val="CaptionedFigure"/>
      </w:pPr>
      <w:r>
        <w:drawing>
          <wp:inline>
            <wp:extent cx="5943600" cy="3966991"/>
            <wp:effectExtent b="0" l="0" r="0" t="0"/>
            <wp:docPr descr="Figure 5.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 title="" id="1" name="Picture"/>
            <a:graphic>
              <a:graphicData uri="http://schemas.openxmlformats.org/drawingml/2006/picture">
                <pic:pic>
                  <pic:nvPicPr>
                    <pic:cNvPr descr="/home/pichler/gits/europe.inequality/analysis/figures/figure1.pdf" id="0" name="Picture"/>
                    <pic:cNvPicPr>
                      <a:picLocks noChangeArrowheads="1" noChangeAspect="1"/>
                    </pic:cNvPicPr>
                  </pic:nvPicPr>
                  <pic:blipFill>
                    <a:blip r:embed="rId24"/>
                    <a:stretch>
                      <a:fillRect/>
                    </a:stretch>
                  </pic:blipFill>
                  <pic:spPr bwMode="auto">
                    <a:xfrm>
                      <a:off x="0" y="0"/>
                      <a:ext cx="5943600" cy="3966991"/>
                    </a:xfrm>
                    <a:prstGeom prst="rect">
                      <a:avLst/>
                    </a:prstGeom>
                    <a:noFill/>
                    <a:ln w="9525">
                      <a:noFill/>
                      <a:headEnd/>
                      <a:tailEnd/>
                    </a:ln>
                  </pic:spPr>
                </pic:pic>
              </a:graphicData>
            </a:graphic>
          </wp:inline>
        </w:drawing>
      </w:r>
    </w:p>
    <w:p>
      <w:pPr>
        <w:pStyle w:val="ImageCaption"/>
      </w:pPr>
      <w:r>
        <w:t xml:space="preserve">Figure 5.1: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w:t>
      </w:r>
    </w:p>
    <w:p>
      <w:pPr>
        <w:pStyle w:val="BodyText"/>
      </w:pPr>
      <w:r>
        <w:t xml:space="preserve">Figures 1d-e show that energy and GHG intensities are particularly high in the lower four deciles, while the higher deciles do not show large differences in weighted average resource intensity. The background to this is the unequal distribution of income in Europe, which, especially in the East, is much lower than in Central and Northern Europe. In most of Eastern European countries, between 80-100% of the population falls within the bottom four European deciles. In Scandinavia, Germany, France, Austria, the Netherlands, Belgium, the UK, and Ireland fewer than 20% of the population belong to the bottom four European deciles (Supplementary figure map). [</w:t>
      </w:r>
      <w:r>
        <w:rPr>
          <w:i/>
        </w:rPr>
        <w:t xml:space="preserve">Here a sentence quoting literature or EXIOBASE to show that a number of Eastern European countries have much higher intensities due to, e.g. coal use.</w:t>
      </w:r>
      <w:r>
        <w:t xml:space="preserve">] Note that our analysis is based on average expenditure data from five income groups at the national level. This aggregation cuts off the lower and upper ends of the respective national expenditure distributions.</w:t>
      </w:r>
    </w:p>
    <w:p>
      <w:pPr>
        <w:pStyle w:val="BodyText"/>
      </w:pPr>
      <w:r>
        <w:t xml:space="preserve">The different intensities of household consumption across European expenditure deciles can be attributed to a combination of two plausible causes: first, if the the composition of consumption baskets systematically differs according to the level of household expenditure. Second, if resource intensity within individual consumption sectors systematically differs according to the level of household expenditure.</w:t>
      </w:r>
    </w:p>
    <w:p>
      <w:pPr>
        <w:pStyle w:val="CaptionedFigure"/>
      </w:pPr>
      <w:r>
        <w:drawing>
          <wp:inline>
            <wp:extent cx="5943600" cy="1485900"/>
            <wp:effectExtent b="0" l="0" r="0" t="0"/>
            <wp:docPr descr="Figure 5.2: Sectoral expenditure shares and GHG intensities of European expenditure deciles. Share of expenditure per final demand sector of total spending per decile in percent (a) and GHG intensity per final demand sector in kgCO2/€." title="" id="1" name="Picture"/>
            <a:graphic>
              <a:graphicData uri="http://schemas.openxmlformats.org/drawingml/2006/picture">
                <pic:pic>
                  <pic:nvPicPr>
                    <pic:cNvPr descr="/home/pichler/gits/europe.inequality/analysis/figures/figure2.pdf" id="0" name="Picture"/>
                    <pic:cNvPicPr>
                      <a:picLocks noChangeArrowheads="1" noChangeAspect="1"/>
                    </pic:cNvPicPr>
                  </pic:nvPicPr>
                  <pic:blipFill>
                    <a:blip r:embed="rId25"/>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5.2: Sectoral expenditure shares and GHG intensities of European expenditure deciles. Share of expenditure per final demand sector of total spending per decile in percent (a) and GHG intensity per final demand sector in kgCO2/€.</w:t>
      </w:r>
    </w:p>
    <w:p>
      <w:pPr>
        <w:pStyle w:val="BodyText"/>
      </w:pPr>
      <w:r>
        <w:t xml:space="preserve">Figure</w:t>
      </w:r>
      <w:r>
        <w:t xml:space="preserve"> </w:t>
      </w:r>
      <w:r>
        <w:t xml:space="preserve">5.2</w:t>
      </w:r>
      <w:r>
        <w:t xml:space="preserve"> </w:t>
      </w:r>
      <w:r>
        <w:t xml:space="preserve">shows that both of these factors play a role. Poorer households on average, spend larger shares of their expenditure in the shelter sector. The bottom and top deciles spend an average of 4% and 11% of their household expenditures on shelter, respectively. Overall, with increasing expenditure decile, the shares of transport and services expenditures increase and the shares of shelter, food and manufactured goods decrease. At the same time, shelter is by far the most GHG intensive sector with the highest variance between expenditure deciles. In our sample, the intensity of all sectors decreases with expenditure level but the shelter sector stands out with a GHG intensity that is more than 3 times higher in the bottom decile (6.7 kgCO2eq/€) than in the top decile (1.7 kgCO2eq/€). Households in the top decile spend about 57% in the service sector that has the lowset GHG intensity, compared to 37% in the bottom decile [</w:t>
      </w:r>
      <w:r>
        <w:rPr>
          <w:i/>
        </w:rPr>
        <w:t xml:space="preserve">wow that is high. correct?</w:t>
      </w:r>
      <w:r>
        <w:t xml:space="preserve">]. Single country studies using MRIO models with national resolution can pick up on differences in consumption baskets but due to the homogeneous technology assumption cannot represent differences in technology between expenditure quantiles.</w:t>
      </w:r>
    </w:p>
    <w:p>
      <w:pPr>
        <w:pStyle w:val="BodyText"/>
      </w:pP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p>
    <w:bookmarkEnd w:id="26"/>
    <w:bookmarkStart w:id="28" w:name="Xa5ec6b06a9f98c59372e9d5ceb51319bf0d5548"/>
    <w:p>
      <w:pPr>
        <w:pStyle w:val="Heading2"/>
      </w:pPr>
      <w:r>
        <w:rPr>
          <w:rStyle w:val="SectionNumber"/>
        </w:rPr>
        <w:t xml:space="preserve">5.2</w:t>
      </w:r>
      <w:r>
        <w:tab/>
      </w:r>
      <w:r>
        <w:t xml:space="preserve">Inequality across final consumption sectors</w:t>
      </w:r>
    </w:p>
    <w:p>
      <w:pPr>
        <w:pStyle w:val="FirstParagraph"/>
      </w:pPr>
      <w:r>
        <w:t xml:space="preserve">In absolute terms, the various final consumption sectors contribute very differently to the total resource footprint of households (Figure 3). On average, shelter and transport are the two largest sectors, accounting for nearly two thirds of both resource footprints. However, there are big differences between the sectors when looking at the respective contributions in the expenditure quantiles. For shelter there is almost no difference (neither in GHG nor in energy footprint). Especially the lower four expenditure deciles have high GHG emissions, which can be explained by the extreme differences in resource intensity shown in Figure 2. Transport was the most unequal sector, with resource footprints 10 times higher in the top decile compared to the bottom deciles (corroborating findings in</w:t>
      </w:r>
      <w:r>
        <w:t xml:space="preserve"> </w:t>
      </w:r>
      <w:r>
        <w:t xml:space="preserve">(Ivanova et al., 2020)</w:t>
      </w:r>
      <w:r>
        <w:t xml:space="preserve"> and</w:t>
      </w:r>
      <w:r>
        <w:t xml:space="preserve"> </w:t>
      </w:r>
      <w:r>
        <w:t xml:space="preserve">(Oswald et al., 2020)</w:t>
      </w:r>
      <w:r>
        <w:t xml:space="preserve">). Manufactured goods Manufactured goods were the second most unequal consumption category (S90/S10 ratios around 5.3 for both footprints), followed by services (S90/S10 ratios of 4.4 for carbon and 4.9 for energy) and then food (S90/S10 ratios of 2.1 for both footprints).</w:t>
      </w:r>
    </w:p>
    <w:p>
      <w:pPr>
        <w:pStyle w:val="CaptionedFigure"/>
      </w:pPr>
      <w:r>
        <w:drawing>
          <wp:inline>
            <wp:extent cx="5943600" cy="3704431"/>
            <wp:effectExtent b="0" l="0" r="0" t="0"/>
            <wp:docPr descr="Figure 5.3: Energy and GHG footprints by final demand sector and European expenditure decile in 2015 further broken down by emission source location." title="" id="1" name="Picture"/>
            <a:graphic>
              <a:graphicData uri="http://schemas.openxmlformats.org/drawingml/2006/picture">
                <pic:pic>
                  <pic:nvPicPr>
                    <pic:cNvPr descr="/home/pichler/gits/europe.inequality/analysis/figures/figure3.pdf" id="0" name="Picture"/>
                    <pic:cNvPicPr>
                      <a:picLocks noChangeArrowheads="1" noChangeAspect="1"/>
                    </pic:cNvPicPr>
                  </pic:nvPicPr>
                  <pic:blipFill>
                    <a:blip r:embed="rId27"/>
                    <a:stretch>
                      <a:fillRect/>
                    </a:stretch>
                  </pic:blipFill>
                  <pic:spPr bwMode="auto">
                    <a:xfrm>
                      <a:off x="0" y="0"/>
                      <a:ext cx="5943600" cy="3704431"/>
                    </a:xfrm>
                    <a:prstGeom prst="rect">
                      <a:avLst/>
                    </a:prstGeom>
                    <a:noFill/>
                    <a:ln w="9525">
                      <a:noFill/>
                      <a:headEnd/>
                      <a:tailEnd/>
                    </a:ln>
                  </pic:spPr>
                </pic:pic>
              </a:graphicData>
            </a:graphic>
          </wp:inline>
        </w:drawing>
      </w:r>
    </w:p>
    <w:p>
      <w:pPr>
        <w:pStyle w:val="ImageCaption"/>
      </w:pPr>
      <w:r>
        <w:t xml:space="preserve">Figure 5.3: Energy and GHG footprints by final demand sector and European expenditure decile in 2015 further broken down by emission source location.</w:t>
      </w:r>
    </w:p>
    <w:p>
      <w:pPr>
        <w:pStyle w:val="BodyText"/>
      </w:pPr>
      <w:r>
        <w:t xml:space="preserve">The shelter footprint was almost entirely domestic, with 26/30% coming from direct household emissions/energy use for heating and cooling, and the rest embedded primarily along the domestic supply chain. The transport footprint was just under 2/3rds domestic. The majority of the transport footprint, above 60%, came from vehicle fuel, either burned directly or indirectly embedded along its supply chain. More than half of the transport footprint’s foreign 1/3rd came from outside Europe. The manufactured goods footprint was mostly non-European, while services and food were both around half domestic.</w:t>
      </w:r>
    </w:p>
    <w:bookmarkEnd w:id="28"/>
    <w:bookmarkEnd w:id="29"/>
    <w:bookmarkStart w:id="34" w:name="counterfactual-a-1.5c-compatible-europe"/>
    <w:p>
      <w:pPr>
        <w:pStyle w:val="Heading1"/>
      </w:pPr>
      <w:r>
        <w:rPr>
          <w:rStyle w:val="SectionNumber"/>
        </w:rPr>
        <w:t xml:space="preserve">6</w:t>
      </w:r>
      <w:r>
        <w:tab/>
      </w:r>
      <w:r>
        <w:t xml:space="preserve">Counterfactual: a 1.5°C compatible Europe</w:t>
      </w:r>
    </w:p>
    <w:p>
      <w:pPr>
        <w:pStyle w:val="FirstParagraph"/>
      </w:pPr>
      <w:r>
        <w:t xml:space="preserve">In order to assess the level of inequality in energy footprints that is compatible with global 1.5°C scenarios we take two steps:</w:t>
      </w:r>
    </w:p>
    <w:p>
      <w:pPr>
        <w:numPr>
          <w:ilvl w:val="0"/>
          <w:numId w:val="1003"/>
        </w:numPr>
      </w:pPr>
      <w:r>
        <w:t xml:space="preserve">We apply a per sector current empirical best technology transformation to all consumption across Europe and assess the energy (and emissions savings) from for expenditure deciles and countries</w:t>
      </w:r>
    </w:p>
    <w:p>
      <w:pPr>
        <w:numPr>
          <w:ilvl w:val="0"/>
          <w:numId w:val="1003"/>
        </w:numPr>
      </w:pPr>
      <w:r>
        <w:t xml:space="preserve">We show how the inequality in the current energy distribution of european expenditure needs to be transformed to be compatible in the space created by the two constraints taken from the global 1.5°C scenarios. The first is total available energy supply (as average per household) and the second is minimal decent living demand.</w:t>
      </w:r>
    </w:p>
    <w:bookmarkStart w:id="31" w:name="X2dd794aa03f2c63ef4370bbc84e8c987b3f3651"/>
    <w:p>
      <w:pPr>
        <w:pStyle w:val="Heading2"/>
      </w:pPr>
      <w:r>
        <w:rPr>
          <w:rStyle w:val="SectionNumber"/>
        </w:rPr>
        <w:t xml:space="preserve">6.1</w:t>
      </w:r>
      <w:r>
        <w:tab/>
      </w:r>
      <w:r>
        <w:t xml:space="preserve">Current empirical best technology per sector</w:t>
      </w:r>
    </w:p>
    <w:p>
      <w:pPr>
        <w:pStyle w:val="CaptionedFigure"/>
      </w:pPr>
      <w:r>
        <w:drawing>
          <wp:inline>
            <wp:extent cx="5943600" cy="3774786"/>
            <wp:effectExtent b="0" l="0" r="0" t="0"/>
            <wp:docPr descr="Figure 6.1: Energy savings through sectoral best current technology by expenditure deciles a) and country b)." title="" id="1" name="Picture"/>
            <a:graphic>
              <a:graphicData uri="http://schemas.openxmlformats.org/drawingml/2006/picture">
                <pic:pic>
                  <pic:nvPicPr>
                    <pic:cNvPr descr="/home/pichler/gits/europe.inequality/analysis/figures/figure4.pdf" id="0" name="Picture"/>
                    <pic:cNvPicPr>
                      <a:picLocks noChangeArrowheads="1" noChangeAspect="1"/>
                    </pic:cNvPicPr>
                  </pic:nvPicPr>
                  <pic:blipFill>
                    <a:blip r:embed="rId30"/>
                    <a:stretch>
                      <a:fillRect/>
                    </a:stretch>
                  </pic:blipFill>
                  <pic:spPr bwMode="auto">
                    <a:xfrm>
                      <a:off x="0" y="0"/>
                      <a:ext cx="5943600" cy="3774786"/>
                    </a:xfrm>
                    <a:prstGeom prst="rect">
                      <a:avLst/>
                    </a:prstGeom>
                    <a:noFill/>
                    <a:ln w="9525">
                      <a:noFill/>
                      <a:headEnd/>
                      <a:tailEnd/>
                    </a:ln>
                  </pic:spPr>
                </pic:pic>
              </a:graphicData>
            </a:graphic>
          </wp:inline>
        </w:drawing>
      </w:r>
    </w:p>
    <w:p>
      <w:pPr>
        <w:pStyle w:val="ImageCaption"/>
      </w:pPr>
      <w:r>
        <w:t xml:space="preserve">Figure 6.1: Energy savings through sectoral best current technology by expenditure deciles a) and country b).</w:t>
      </w:r>
    </w:p>
    <w:p>
      <w:pPr>
        <w:numPr>
          <w:ilvl w:val="0"/>
          <w:numId w:val="1004"/>
        </w:numPr>
      </w:pPr>
      <w:r>
        <w:t xml:space="preserve">Improving energy efficiency is the most politically uncontroversial step towards mitigation targets. The EU has a bunch of policies for that, old and new. The GD has a transition fund to pay for this for poorer countries, sort of.</w:t>
      </w:r>
    </w:p>
    <w:p>
      <w:pPr>
        <w:numPr>
          <w:ilvl w:val="0"/>
          <w:numId w:val="1004"/>
        </w:numPr>
      </w:pPr>
      <w:r>
        <w:t xml:space="preserve">We have seen that the 10th decile has the best energy and GHG efficiency, so we take those average values and apply them to all consumption in Europe. We have to discuss some implicit assumptions. We basically assume efficiency differences are losses between primary energy and final demand. There could also be losses between final demand and energy service (that require more infrastructural change) or there could be different levels of energy service demand (population density, age structure, climate, etc). We could argue that this is why we take the average of decile 10, which covers some countries (</w:t>
      </w:r>
      <w:r>
        <w:rPr>
          <w:i/>
        </w:rPr>
        <w:t xml:space="preserve">does it?</w:t>
      </w:r>
      <w:r>
        <w:t xml:space="preserve">) but it is a limitation of sorts.</w:t>
      </w:r>
    </w:p>
    <w:p>
      <w:pPr>
        <w:numPr>
          <w:ilvl w:val="0"/>
          <w:numId w:val="1004"/>
        </w:numPr>
      </w:pPr>
      <w:r>
        <w:t xml:space="preserve">Here I would then show a combined figure 4 with Ingram’s distribution and the red line (coordinates flipped) and a map that shows energy savings in countries. Short summary of what these numbers are for expenditure decile and countries</w:t>
      </w:r>
    </w:p>
    <w:bookmarkEnd w:id="31"/>
    <w:bookmarkStart w:id="33" w:name="inequality-in-a-1.5c-compatible-europe"/>
    <w:p>
      <w:pPr>
        <w:pStyle w:val="Heading2"/>
      </w:pPr>
      <w:r>
        <w:rPr>
          <w:rStyle w:val="SectionNumber"/>
        </w:rPr>
        <w:t xml:space="preserve">6.2</w:t>
      </w:r>
      <w:r>
        <w:tab/>
      </w:r>
      <w:r>
        <w:t xml:space="preserve">Inequality in a 1.5°C compatible Europe</w:t>
      </w:r>
    </w:p>
    <w:p>
      <w:pPr>
        <w:numPr>
          <w:ilvl w:val="0"/>
          <w:numId w:val="1005"/>
        </w:numPr>
      </w:pPr>
      <w:r>
        <w:t xml:space="preserve">We introduce the main global 1.5°C compatible scenarios with their energy supply and their assumptions for minimal energy demand for a decent life (maybe table).</w:t>
      </w:r>
    </w:p>
    <w:p>
      <w:pPr>
        <w:numPr>
          <w:ilvl w:val="0"/>
          <w:numId w:val="1005"/>
        </w:numPr>
      </w:pPr>
      <w:r>
        <w:t xml:space="preserve">We explain that they all give average values but say little or nothing about distribution. We then explain for one example that if we simply scale the current distribution to the mean value of a medium supply scenario, we run into problems for the lower deciles to achieve decent living energy.</w:t>
      </w:r>
    </w:p>
    <w:p>
      <w:pPr>
        <w:numPr>
          <w:ilvl w:val="0"/>
          <w:numId w:val="1005"/>
        </w:numPr>
      </w:pPr>
      <w:r>
        <w:t xml:space="preserve">We then explain how to do this more generically poiting to figure 5 that shows the scenario space.</w:t>
      </w:r>
    </w:p>
    <w:p>
      <w:pPr>
        <w:pStyle w:val="CaptionedFigure"/>
      </w:pPr>
      <w:r>
        <w:drawing>
          <wp:inline>
            <wp:extent cx="5943600" cy="4669971"/>
            <wp:effectExtent b="0" l="0" r="0" t="0"/>
            <wp:docPr descr="Figure 6.2: Dings" title="" id="1" name="Picture"/>
            <a:graphic>
              <a:graphicData uri="http://schemas.openxmlformats.org/drawingml/2006/picture">
                <pic:pic>
                  <pic:nvPicPr>
                    <pic:cNvPr descr="/home/pichler/gits/europe.inequality/analysis/figures/figure5.pdf" id="0" name="Picture"/>
                    <pic:cNvPicPr>
                      <a:picLocks noChangeArrowheads="1" noChangeAspect="1"/>
                    </pic:cNvPicPr>
                  </pic:nvPicPr>
                  <pic:blipFill>
                    <a:blip r:embed="rId32"/>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6.2: Dings</w:t>
      </w:r>
    </w:p>
    <w:bookmarkEnd w:id="33"/>
    <w:bookmarkEnd w:id="34"/>
    <w:bookmarkStart w:id="35" w:name="discussion"/>
    <w:p>
      <w:pPr>
        <w:pStyle w:val="Heading1"/>
      </w:pPr>
      <w:r>
        <w:rPr>
          <w:rStyle w:val="SectionNumber"/>
        </w:rPr>
        <w:t xml:space="preserve">7</w:t>
      </w:r>
      <w:r>
        <w:tab/>
      </w:r>
      <w:r>
        <w:t xml:space="preserve">Discussion</w:t>
      </w:r>
    </w:p>
    <w:bookmarkEnd w:id="35"/>
    <w:bookmarkStart w:id="36" w:name="conclusion"/>
    <w:p>
      <w:pPr>
        <w:pStyle w:val="Heading1"/>
      </w:pPr>
      <w:r>
        <w:rPr>
          <w:rStyle w:val="SectionNumber"/>
        </w:rPr>
        <w:t xml:space="preserve">8</w:t>
      </w:r>
      <w:r>
        <w:tab/>
      </w:r>
      <w:r>
        <w:t xml:space="preserve">Conclusion</w:t>
      </w:r>
    </w:p>
    <w:bookmarkEnd w:id="36"/>
    <w:bookmarkStart w:id="37" w:name="acknowledgements"/>
    <w:p>
      <w:pPr>
        <w:pStyle w:val="Heading1"/>
      </w:pPr>
      <w:r>
        <w:rPr>
          <w:rStyle w:val="SectionNumber"/>
        </w:rPr>
        <w:t xml:space="preserve">9</w:t>
      </w:r>
      <w:r>
        <w:tab/>
      </w:r>
      <w:r>
        <w:t xml:space="preserve">Acknowledgements</w:t>
      </w:r>
    </w:p>
    <w:p>
      <w:r>
        <w:br w:type="page"/>
      </w:r>
    </w:p>
    <w:bookmarkEnd w:id="37"/>
    <w:bookmarkStart w:id="52" w:name="references"/>
    <w:p>
      <w:pPr>
        <w:pStyle w:val="Heading1"/>
      </w:pPr>
      <w:r>
        <w:rPr>
          <w:rStyle w:val="SectionNumber"/>
        </w:rPr>
        <w:t xml:space="preserve">10</w:t>
      </w:r>
      <w:r>
        <w:tab/>
      </w:r>
      <w:r>
        <w:t xml:space="preserve">References</w:t>
      </w:r>
    </w:p>
    <w:bookmarkStart w:id="50" w:name="refs"/>
    <w:bookmarkStart w:id="39" w:name="ref-creutzig_towards_2018"/>
    <w:p>
      <w:pPr>
        <w:pStyle w:val="Bibliography"/>
      </w:pPr>
      <w:r>
        <w:t xml:space="preserve">Creutzig, F., Roy, J., Lamb, W.F., Azevedo, I.M.L., Bruine de Bruin, W., Dalkmann, H., Edelenbosch, O.Y., Geels, F.W., Grubler, A., Hepburn, C., Hertwich, E.G., Khosla, R., Mattauch, L., Minx, J.C., Ramakrishnan, A., Rao, N.D., Steinberger, J.K., Tavoni, M., Ürge-Vorsatz, D., Weber, E.U., 2018. Towards demand-side solutions for mitigating climate change. Nature Climate Change 8, 260–263.</w:t>
      </w:r>
      <w:r>
        <w:t xml:space="preserve"> </w:t>
      </w:r>
      <w:hyperlink r:id="rId38">
        <w:r>
          <w:rPr>
            <w:rStyle w:val="Hyperlink"/>
          </w:rPr>
          <w:t xml:space="preserve">https://doi.org/10.1038/s41558-018-0121-1</w:t>
        </w:r>
      </w:hyperlink>
    </w:p>
    <w:bookmarkEnd w:id="39"/>
    <w:bookmarkStart w:id="41" w:name="ref-grubler_low_2018"/>
    <w:p>
      <w:pPr>
        <w:pStyle w:val="Bibliography"/>
      </w:pPr>
      <w:r>
        <w:t xml:space="preserve">Grubler, A., Wilson, C., Bento, N., Boza-Kiss, B., Krey, V., McCollum, D., Rao, N., Riahi, K., Rogelj, J., De Stercke, S., Cullen, J., Frank, S., Fricko, O., Guo, F., Gidden, M., Havlik, P., Huppmann, D., Kiesewetter, G., Rafaj, P., Schöpp, W., Valin, H., 2018. A low energy demand scenario for meeting the 1.5 °</w:t>
      </w:r>
      <w:r>
        <w:t xml:space="preserve">C</w:t>
      </w:r>
      <w:r>
        <w:t xml:space="preserve"> </w:t>
      </w:r>
      <w:r>
        <w:t xml:space="preserve">target and sustainable development goals without negative emission technologies. Nature Energy 3, 517–525. https://doi.org/</w:t>
      </w:r>
      <w:hyperlink r:id="rId40">
        <w:r>
          <w:rPr>
            <w:rStyle w:val="Hyperlink"/>
          </w:rPr>
          <w:t xml:space="preserve">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°C target and sustainable development goals without negative emission technologies. Nature Energy 3: 517-525. DOI:10.1038/s41560-018-0172-6 &lt;https://doi.org/10.1038/s41560-018-0172-6&gt;.</w:t>
        </w:r>
      </w:hyperlink>
    </w:p>
    <w:bookmarkEnd w:id="41"/>
    <w:bookmarkStart w:id="43" w:name="ref-ivanova_quantifying_2020"/>
    <w:p>
      <w:pPr>
        <w:pStyle w:val="Bibliography"/>
      </w:pPr>
      <w:r>
        <w:t xml:space="preserve">Ivanova, D., Barrett, J., Wiedenhofer, D., Macura, B., Callaghan, M.W., Creutzig, F., 2020. Quantifying the potential for climate change mitigation of consumption options. Environmental Research Letters.</w:t>
      </w:r>
      <w:r>
        <w:t xml:space="preserve"> </w:t>
      </w:r>
      <w:hyperlink r:id="rId42">
        <w:r>
          <w:rPr>
            <w:rStyle w:val="Hyperlink"/>
          </w:rPr>
          <w:t xml:space="preserve">https://doi.org/10.1088/1748-9326/ab8589</w:t>
        </w:r>
      </w:hyperlink>
    </w:p>
    <w:bookmarkEnd w:id="43"/>
    <w:bookmarkStart w:id="45" w:name="ref-ivanova_mapping_2017"/>
    <w:p>
      <w:pPr>
        <w:pStyle w:val="Bibliography"/>
      </w:pPr>
      <w:r>
        <w:t xml:space="preserve">Ivanova, D., Vita, G., Steen-Olsen, K., Stadler, K., Melo, P.C., Wood, R., Hertwich, E.G., 2017. Mapping the carbon footprint of</w:t>
      </w:r>
      <w:r>
        <w:t xml:space="preserve"> </w:t>
      </w:r>
      <w:r>
        <w:t xml:space="preserve">EU</w:t>
      </w:r>
      <w:r>
        <w:t xml:space="preserve"> </w:t>
      </w:r>
      <w:r>
        <w:t xml:space="preserve">regions. Environmental Research Letters 12, 054013.</w:t>
      </w:r>
      <w:r>
        <w:t xml:space="preserve"> </w:t>
      </w:r>
      <w:hyperlink r:id="rId44">
        <w:r>
          <w:rPr>
            <w:rStyle w:val="Hyperlink"/>
          </w:rPr>
          <w:t xml:space="preserve">https://doi.org/10.1088/1748-9326/aa6da9</w:t>
        </w:r>
      </w:hyperlink>
    </w:p>
    <w:bookmarkEnd w:id="45"/>
    <w:bookmarkStart w:id="47" w:name="ref-millward-hopkins_providing_2020"/>
    <w:p>
      <w:pPr>
        <w:pStyle w:val="Bibliography"/>
      </w:pPr>
      <w:r>
        <w:t xml:space="preserve">Millward-Hopkins, J., Steinberger, J.K., Rao, N.D., Oswald, Y., 2020. Providing decent living with minimum energy:</w:t>
      </w:r>
      <w:r>
        <w:t xml:space="preserve"> </w:t>
      </w:r>
      <w:r>
        <w:t xml:space="preserve">A</w:t>
      </w:r>
      <w:r>
        <w:t xml:space="preserve"> </w:t>
      </w:r>
      <w:r>
        <w:t xml:space="preserve">global scenario. Global Environmental Change 65, 102168.</w:t>
      </w:r>
      <w:r>
        <w:t xml:space="preserve"> </w:t>
      </w:r>
      <w:hyperlink r:id="rId46">
        <w:r>
          <w:rPr>
            <w:rStyle w:val="Hyperlink"/>
          </w:rPr>
          <w:t xml:space="preserve">https://doi.org/10.1016/j.gloenvcha.2020.102168</w:t>
        </w:r>
      </w:hyperlink>
    </w:p>
    <w:bookmarkEnd w:id="47"/>
    <w:bookmarkStart w:id="49" w:name="ref-oswald_large_2020"/>
    <w:p>
      <w:pPr>
        <w:pStyle w:val="Bibliography"/>
      </w:pPr>
      <w:r>
        <w:t xml:space="preserve">Oswald, Y., Owen, A., Steinberger, J.K., 2020. Large inequality in international and intranational energy footprints between income groups and across consumption categories. Nature Energy 5, 231–239.</w:t>
      </w:r>
      <w:r>
        <w:t xml:space="preserve"> </w:t>
      </w:r>
      <w:hyperlink r:id="rId48">
        <w:r>
          <w:rPr>
            <w:rStyle w:val="Hyperlink"/>
          </w:rPr>
          <w:t xml:space="preserve">https://doi.org/10.1038/s41560-020-0579-8</w:t>
        </w:r>
      </w:hyperlink>
    </w:p>
    <w:bookmarkEnd w:id="49"/>
    <w:bookmarkEnd w:id="50"/>
    <w:p>
      <w:r>
        <w:br w:type="page"/>
      </w:r>
    </w:p>
    <w:bookmarkStart w:id="51" w:name="colophon"/>
    <w:p>
      <w:pPr>
        <w:pStyle w:val="Heading3"/>
      </w:pPr>
      <w:r>
        <w:rPr>
          <w:rStyle w:val="SectionNumber"/>
        </w:rPr>
        <w:t xml:space="preserve">10.0.1</w:t>
      </w:r>
      <w:r>
        <w:tab/>
      </w:r>
      <w:r>
        <w:t xml:space="preserve">Colophon</w:t>
      </w:r>
    </w:p>
    <w:p>
      <w:pPr>
        <w:pStyle w:val="FirstParagraph"/>
      </w:pPr>
      <w:r>
        <w:t xml:space="preserve">This report was generated on 2020-12-04 11:20:16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20.04.1 LTS          </w:t>
      </w:r>
      <w:r>
        <w:br/>
      </w:r>
      <w:r>
        <w:rPr>
          <w:rStyle w:val="VerbatimChar"/>
        </w:rPr>
        <w:t xml:space="preserve">#&gt;  system   x86_64, linux-gnu           </w:t>
      </w:r>
      <w:r>
        <w:br/>
      </w:r>
      <w:r>
        <w:rPr>
          <w:rStyle w:val="VerbatimChar"/>
        </w:rPr>
        <w:t xml:space="preserve">#&gt;  ui       X11                         </w:t>
      </w:r>
      <w:r>
        <w:br/>
      </w:r>
      <w:r>
        <w:rPr>
          <w:rStyle w:val="VerbatimChar"/>
        </w:rPr>
        <w:t xml:space="preserve">#&gt;  language (EN)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2020-12-04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3.6.1)</w:t>
      </w:r>
      <w:r>
        <w:br/>
      </w:r>
      <w:r>
        <w:rPr>
          <w:rStyle w:val="VerbatimChar"/>
        </w:rPr>
        <w:t xml:space="preserve">#&gt;  bookdown      0.21    2020-10-13 [1] CRAN (R 3.6.3)</w:t>
      </w:r>
      <w:r>
        <w:br/>
      </w:r>
      <w:r>
        <w:rPr>
          <w:rStyle w:val="VerbatimChar"/>
        </w:rPr>
        <w:t xml:space="preserve">#&gt;  callr         3.5.1   2020-10-13 [1] CRAN (R 3.6.3)</w:t>
      </w:r>
      <w:r>
        <w:br/>
      </w:r>
      <w:r>
        <w:rPr>
          <w:rStyle w:val="VerbatimChar"/>
        </w:rPr>
        <w:t xml:space="preserve">#&gt;  cli           2.2.0   2020-11-20 [1] CRAN (R 3.6.3)</w:t>
      </w:r>
      <w:r>
        <w:br/>
      </w:r>
      <w:r>
        <w:rPr>
          <w:rStyle w:val="VerbatimChar"/>
        </w:rPr>
        <w:t xml:space="preserve">#&gt;  crayon        1.3.4   2017-09-16 [3] CRAN (R 3.5.0)</w:t>
      </w:r>
      <w:r>
        <w:br/>
      </w:r>
      <w:r>
        <w:rPr>
          <w:rStyle w:val="VerbatimChar"/>
        </w:rPr>
        <w:t xml:space="preserve">#&gt;  desc          1.2.0   2018-05-01 [3] CRAN (R 3.5.0)</w:t>
      </w:r>
      <w:r>
        <w:br/>
      </w:r>
      <w:r>
        <w:rPr>
          <w:rStyle w:val="VerbatimChar"/>
        </w:rPr>
        <w:t xml:space="preserve">#&gt;  devtools      2.3.2   2020-09-18 [1] CRAN (R 3.6.3)</w:t>
      </w:r>
      <w:r>
        <w:br/>
      </w:r>
      <w:r>
        <w:rPr>
          <w:rStyle w:val="VerbatimChar"/>
        </w:rPr>
        <w:t xml:space="preserve">#&gt;  digest        0.6.27  2020-10-24 [1] CRAN (R 3.6.3)</w:t>
      </w:r>
      <w:r>
        <w:br/>
      </w:r>
      <w:r>
        <w:rPr>
          <w:rStyle w:val="VerbatimChar"/>
        </w:rPr>
        <w:t xml:space="preserve">#&gt;  ellipsis      0.3.1   2020-05-15 [1] CRAN (R 3.6.2)</w:t>
      </w:r>
      <w:r>
        <w:br/>
      </w:r>
      <w:r>
        <w:rPr>
          <w:rStyle w:val="VerbatimChar"/>
        </w:rPr>
        <w:t xml:space="preserve">#&gt;  evaluate      0.14    2019-05-28 [1] CRAN (R 3.6.1)</w:t>
      </w:r>
      <w:r>
        <w:br/>
      </w:r>
      <w:r>
        <w:rPr>
          <w:rStyle w:val="VerbatimChar"/>
        </w:rPr>
        <w:t xml:space="preserve">#&gt;  fansi         0.4.1   2020-01-08 [1] CRAN (R 3.6.2)</w:t>
      </w:r>
      <w:r>
        <w:br/>
      </w:r>
      <w:r>
        <w:rPr>
          <w:rStyle w:val="VerbatimChar"/>
        </w:rPr>
        <w:t xml:space="preserve">#&gt;  fs            1.5.0   2020-07-31 [1] CRAN (R 3.6.3)</w:t>
      </w:r>
      <w:r>
        <w:br/>
      </w:r>
      <w:r>
        <w:rPr>
          <w:rStyle w:val="VerbatimChar"/>
        </w:rPr>
        <w:t xml:space="preserve">#&gt;  glue          1.4.2   2020-08-27 [1] CRAN (R 3.6.3)</w:t>
      </w:r>
      <w:r>
        <w:br/>
      </w:r>
      <w:r>
        <w:rPr>
          <w:rStyle w:val="VerbatimChar"/>
        </w:rPr>
        <w:t xml:space="preserve">#&gt;  here        * 1.0.0   2020-11-15 [1] CRAN (R 3.6.3)</w:t>
      </w:r>
      <w:r>
        <w:br/>
      </w:r>
      <w:r>
        <w:rPr>
          <w:rStyle w:val="VerbatimChar"/>
        </w:rPr>
        <w:t xml:space="preserve">#&gt;  htmltools     0.5.0   2020-06-16 [1] CRAN (R 3.6.3)</w:t>
      </w:r>
      <w:r>
        <w:br/>
      </w:r>
      <w:r>
        <w:rPr>
          <w:rStyle w:val="VerbatimChar"/>
        </w:rPr>
        <w:t xml:space="preserve">#&gt;  knitr         1.30    2020-09-22 [1] CRAN (R 3.6.3)</w:t>
      </w:r>
      <w:r>
        <w:br/>
      </w:r>
      <w:r>
        <w:rPr>
          <w:rStyle w:val="VerbatimChar"/>
        </w:rPr>
        <w:t xml:space="preserve">#&gt;  magrittr      2.0.1   2020-11-17 [1] CRAN (R 3.6.3)</w:t>
      </w:r>
      <w:r>
        <w:br/>
      </w:r>
      <w:r>
        <w:rPr>
          <w:rStyle w:val="VerbatimChar"/>
        </w:rPr>
        <w:t xml:space="preserve">#&gt;  memoise       1.1.0   2017-04-21 [3] CRAN (R 3.5.0)</w:t>
      </w:r>
      <w:r>
        <w:br/>
      </w:r>
      <w:r>
        <w:rPr>
          <w:rStyle w:val="VerbatimChar"/>
        </w:rPr>
        <w:t xml:space="preserve">#&gt;  pkgbuild      1.1.0   2020-07-13 [1] CRAN (R 3.6.3)</w:t>
      </w:r>
      <w:r>
        <w:br/>
      </w:r>
      <w:r>
        <w:rPr>
          <w:rStyle w:val="VerbatimChar"/>
        </w:rPr>
        <w:t xml:space="preserve">#&gt;  pkgload       1.1.0   2020-05-29 [1] CRAN (R 3.6.3)</w:t>
      </w:r>
      <w:r>
        <w:br/>
      </w:r>
      <w:r>
        <w:rPr>
          <w:rStyle w:val="VerbatimChar"/>
        </w:rPr>
        <w:t xml:space="preserve">#&gt;  prettyunits   1.1.1   2020-01-24 [1] CRAN (R 3.6.2)</w:t>
      </w:r>
      <w:r>
        <w:br/>
      </w:r>
      <w:r>
        <w:rPr>
          <w:rStyle w:val="VerbatimChar"/>
        </w:rPr>
        <w:t xml:space="preserve">#&gt;  processx      3.4.5   2020-11-30 [1] CRAN (R 3.6.3)</w:t>
      </w:r>
      <w:r>
        <w:br/>
      </w:r>
      <w:r>
        <w:rPr>
          <w:rStyle w:val="VerbatimChar"/>
        </w:rPr>
        <w:t xml:space="preserve">#&gt;  ps            1.4.0   2020-10-07 [1] CRAN (R 3.6.3)</w:t>
      </w:r>
      <w:r>
        <w:br/>
      </w:r>
      <w:r>
        <w:rPr>
          <w:rStyle w:val="VerbatimChar"/>
        </w:rPr>
        <w:t xml:space="preserve">#&gt;  R6            2.5.0   2020-10-28 [1] CRAN (R 3.6.3)</w:t>
      </w:r>
      <w:r>
        <w:br/>
      </w:r>
      <w:r>
        <w:rPr>
          <w:rStyle w:val="VerbatimChar"/>
        </w:rPr>
        <w:t xml:space="preserve">#&gt;  remotes       2.2.0   2020-07-21 [1] CRAN (R 3.6.3)</w:t>
      </w:r>
      <w:r>
        <w:br/>
      </w:r>
      <w:r>
        <w:rPr>
          <w:rStyle w:val="VerbatimChar"/>
        </w:rPr>
        <w:t xml:space="preserve">#&gt;  rlang         0.4.9   2020-11-26 [1] CRAN (R 3.6.3)</w:t>
      </w:r>
      <w:r>
        <w:br/>
      </w:r>
      <w:r>
        <w:rPr>
          <w:rStyle w:val="VerbatimChar"/>
        </w:rPr>
        <w:t xml:space="preserve">#&gt;  rmarkdown     2.5     2020-10-21 [1] CRAN (R 3.6.3)</w:t>
      </w:r>
      <w:r>
        <w:br/>
      </w:r>
      <w:r>
        <w:rPr>
          <w:rStyle w:val="VerbatimChar"/>
        </w:rPr>
        <w:t xml:space="preserve">#&gt;  rprojroot     2.0.2   2020-11-15 [1] CRAN (R 3.6.3)</w:t>
      </w:r>
      <w:r>
        <w:br/>
      </w:r>
      <w:r>
        <w:rPr>
          <w:rStyle w:val="VerbatimChar"/>
        </w:rPr>
        <w:t xml:space="preserve">#&gt;  sessioninfo   1.1.1   2018-11-05 [1] CRAN (R 3.6.1)</w:t>
      </w:r>
      <w:r>
        <w:br/>
      </w:r>
      <w:r>
        <w:rPr>
          <w:rStyle w:val="VerbatimChar"/>
        </w:rPr>
        <w:t xml:space="preserve">#&gt;  stringi       1.5.3   2020-09-09 [1] CRAN (R 3.6.3)</w:t>
      </w:r>
      <w:r>
        <w:br/>
      </w:r>
      <w:r>
        <w:rPr>
          <w:rStyle w:val="VerbatimChar"/>
        </w:rPr>
        <w:t xml:space="preserve">#&gt;  stringr       1.4.0   2019-02-10 [3] CRAN (R 3.5.2)</w:t>
      </w:r>
      <w:r>
        <w:br/>
      </w:r>
      <w:r>
        <w:rPr>
          <w:rStyle w:val="VerbatimChar"/>
        </w:rPr>
        <w:t xml:space="preserve">#&gt;  testthat      3.0.0   2020-10-31 [1] CRAN (R 3.6.3)</w:t>
      </w:r>
      <w:r>
        <w:br/>
      </w:r>
      <w:r>
        <w:rPr>
          <w:rStyle w:val="VerbatimChar"/>
        </w:rPr>
        <w:t xml:space="preserve">#&gt;  usethis       1.6.3   2020-09-17 [1] CRAN (R 3.6.3)</w:t>
      </w:r>
      <w:r>
        <w:br/>
      </w:r>
      <w:r>
        <w:rPr>
          <w:rStyle w:val="VerbatimChar"/>
        </w:rPr>
        <w:t xml:space="preserve">#&gt;  withr         2.3.0   2020-09-22 [1] CRAN (R 3.6.3)</w:t>
      </w:r>
      <w:r>
        <w:br/>
      </w:r>
      <w:r>
        <w:rPr>
          <w:rStyle w:val="VerbatimChar"/>
        </w:rPr>
        <w:t xml:space="preserve">#&gt;  xfun          0.19    2020-10-30 [1] CRAN (R 3.6.3)</w:t>
      </w:r>
      <w:r>
        <w:br/>
      </w:r>
      <w:r>
        <w:rPr>
          <w:rStyle w:val="VerbatimChar"/>
        </w:rPr>
        <w:t xml:space="preserve">#&gt;  yaml          2.2.1   2020-02-01 [1] CRAN (R 3.6.2)</w:t>
      </w:r>
      <w:r>
        <w:br/>
      </w:r>
      <w:r>
        <w:rPr>
          <w:rStyle w:val="VerbatimChar"/>
        </w:rPr>
        <w:t xml:space="preserve">#&gt; </w:t>
      </w:r>
      <w:r>
        <w:br/>
      </w:r>
      <w:r>
        <w:rPr>
          <w:rStyle w:val="VerbatimChar"/>
        </w:rPr>
        <w:t xml:space="preserve">#&gt; [1] /home/pichler/R/x86_64-pc-linux-gnu-library/3.6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/home/pichler/gits/europe.inequality</w:t>
      </w:r>
      <w:r>
        <w:br/>
      </w:r>
      <w:r>
        <w:rPr>
          <w:rStyle w:val="VerbatimChar"/>
        </w:rPr>
        <w:t xml:space="preserve">#&gt; Remote:   master @ origin (git@gitlab.pik-potsdam.de:pichler/europe.inequality.git)</w:t>
      </w:r>
      <w:r>
        <w:br/>
      </w:r>
      <w:r>
        <w:rPr>
          <w:rStyle w:val="VerbatimChar"/>
        </w:rPr>
        <w:t xml:space="preserve">#&gt; Head:     [2646b41] 2020-12-03: initialize project</w:t>
      </w:r>
    </w:p>
    <w:bookmarkEnd w:id="51"/>
    <w:bookmarkEnd w:id="52"/>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99411">
    <w:nsid w:val="71315dca"/>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1"/>
  </w:num>
  <w:num w:numId="1002">
    <w:abstractNumId w:val="991"/>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hyperlink" Id="rId40" Target="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176;C target and sustainable development goals without negative emission technologies. Nature Energy 3: 517-525. DOI:10.1038/s41560-018-0172-6 &lt;https://doi.org/10.1038/s41560-018-0172-6&gt;." TargetMode="External" /><Relationship Type="http://schemas.openxmlformats.org/officeDocument/2006/relationships/hyperlink" Id="rId46" Target="https://doi.org/10.1016/j.gloenvcha.2020.102168" TargetMode="External" /><Relationship Type="http://schemas.openxmlformats.org/officeDocument/2006/relationships/hyperlink" Id="rId38" Target="https://doi.org/10.1038/s41558-018-0121-1" TargetMode="External" /><Relationship Type="http://schemas.openxmlformats.org/officeDocument/2006/relationships/hyperlink" Id="rId48" Target="https://doi.org/10.1038/s41560-020-0579-8" TargetMode="External" /><Relationship Type="http://schemas.openxmlformats.org/officeDocument/2006/relationships/hyperlink" Id="rId44" Target="https://doi.org/10.1088/1748-9326/aa6da9" TargetMode="External" /><Relationship Type="http://schemas.openxmlformats.org/officeDocument/2006/relationships/hyperlink" Id="rId42" Target="https://doi.org/10.1088/1748-9326/ab8589" TargetMode="External" /></Relationships>
</file>

<file path=word/_rels/footnotes.xml.rels><?xml version="1.0" encoding="UTF-8"?>
<Relationships xmlns="http://schemas.openxmlformats.org/package/2006/relationships"><Relationship Type="http://schemas.openxmlformats.org/officeDocument/2006/relationships/hyperlink" Id="rId40" Target="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176;C target and sustainable development goals without negative emission technologies. Nature Energy 3: 517-525. DOI:10.1038/s41560-018-0172-6 &lt;https://doi.org/10.1038/s41560-018-0172-6&gt;." TargetMode="External" /><Relationship Type="http://schemas.openxmlformats.org/officeDocument/2006/relationships/hyperlink" Id="rId46" Target="https://doi.org/10.1016/j.gloenvcha.2020.102168" TargetMode="External" /><Relationship Type="http://schemas.openxmlformats.org/officeDocument/2006/relationships/hyperlink" Id="rId38" Target="https://doi.org/10.1038/s41558-018-0121-1" TargetMode="External" /><Relationship Type="http://schemas.openxmlformats.org/officeDocument/2006/relationships/hyperlink" Id="rId48" Target="https://doi.org/10.1038/s41560-020-0579-8" TargetMode="External" /><Relationship Type="http://schemas.openxmlformats.org/officeDocument/2006/relationships/hyperlink" Id="rId44" Target="https://doi.org/10.1088/1748-9326/aa6da9" TargetMode="External" /><Relationship Type="http://schemas.openxmlformats.org/officeDocument/2006/relationships/hyperlink" Id="rId42" Target="https://doi.org/10.1088/1748-9326/ab8589"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Jaccard1, Peter-Paul Pichler1, Johannes Többen1, and Helga Weisz1,2</dc:creator>
  <cp:keywords/>
  <dcterms:created xsi:type="dcterms:W3CDTF">2020-12-04T10:20:20Z</dcterms:created>
  <dcterms:modified xsi:type="dcterms:W3CDTF">2020-12-04T10:20:20Z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../templates/journal-of-archaeological-science.csl</vt:lpwstr>
  </property>
  <property fmtid="{D5CDD505-2E9C-101B-9397-08002B2CF9AE}" pid="5" name="date">
    <vt:lpwstr>04 Dezember, 2020</vt:lpwstr>
  </property>
  <property fmtid="{D5CDD505-2E9C-101B-9397-08002B2CF9AE}" pid="6" name="highlights">
    <vt:lpwstr>These are the highlights.</vt:lpwstr>
  </property>
  <property fmtid="{D5CDD505-2E9C-101B-9397-08002B2CF9AE}" pid="7" name="output">
    <vt:lpwstr/>
  </property>
</Properties>
</file>