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Compact"/>
        <w:numPr>
          <w:numId w:val="1001"/>
          <w:ilvl w:val="0"/>
        </w:numPr>
      </w:pPr>
      <w:hyperlink w:anchor="supplementary-materials-and-methods">
        <w:r>
          <w:rPr>
            <w:rStyle w:val="Hyperlink"/>
          </w:rPr>
          <w:t xml:space="preserve">Supplementary Materials and Methods</w:t>
        </w:r>
      </w:hyperlink>
    </w:p>
    <w:p>
      <w:pPr>
        <w:pStyle w:val="Compact"/>
        <w:numPr>
          <w:numId w:val="1002"/>
          <w:ilvl w:val="1"/>
        </w:numPr>
      </w:pPr>
      <w:hyperlink w:anchor="Xbe52612aa2a08d9191ee3670ef3da1063ab3590">
        <w:r>
          <w:rPr>
            <w:rStyle w:val="Hyperlink"/>
          </w:rPr>
          <w:t xml:space="preserve">Income-stratified national household energy and carbon footprints</w:t>
        </w:r>
      </w:hyperlink>
    </w:p>
    <w:p>
      <w:pPr>
        <w:pStyle w:val="Compact"/>
        <w:numPr>
          <w:numId w:val="1003"/>
          <w:ilvl w:val="2"/>
        </w:numPr>
      </w:pPr>
      <w:hyperlink w:anchor="exiobase">
        <w:r>
          <w:rPr>
            <w:rStyle w:val="Hyperlink"/>
          </w:rPr>
          <w:t xml:space="preserve">EXIOBASE</w:t>
        </w:r>
      </w:hyperlink>
    </w:p>
    <w:p>
      <w:pPr>
        <w:pStyle w:val="Compact"/>
        <w:numPr>
          <w:numId w:val="1003"/>
          <w:ilvl w:val="2"/>
        </w:numPr>
      </w:pPr>
      <w:hyperlink w:anchor="eurostat-hbs">
        <w:r>
          <w:rPr>
            <w:rStyle w:val="Hyperlink"/>
          </w:rPr>
          <w:t xml:space="preserve">EUROSTAT HBS</w:t>
        </w:r>
      </w:hyperlink>
    </w:p>
    <w:p>
      <w:pPr>
        <w:pStyle w:val="Compact"/>
        <w:numPr>
          <w:numId w:val="1003"/>
          <w:ilvl w:val="2"/>
        </w:numPr>
      </w:pPr>
      <w:hyperlink w:anchor="method-for-main-paper-results">
        <w:r>
          <w:rPr>
            <w:rStyle w:val="Hyperlink"/>
          </w:rPr>
          <w:t xml:space="preserve">Method for main paper results</w:t>
        </w:r>
      </w:hyperlink>
    </w:p>
    <w:p>
      <w:pPr>
        <w:pStyle w:val="Compact"/>
        <w:numPr>
          <w:numId w:val="1003"/>
          <w:ilvl w:val="2"/>
        </w:numPr>
      </w:pPr>
      <w:hyperlink w:anchor="Xbfbd531a14099eb2827f97ea2991c0935e43b23">
        <w:r>
          <w:rPr>
            <w:rStyle w:val="Hyperlink"/>
          </w:rPr>
          <w:t xml:space="preserve">Correspondence between EXIOBASE and EUROSTAT HBS</w:t>
        </w:r>
      </w:hyperlink>
    </w:p>
    <w:p>
      <w:pPr>
        <w:pStyle w:val="Compact"/>
        <w:numPr>
          <w:numId w:val="1003"/>
          <w:ilvl w:val="2"/>
        </w:numPr>
      </w:pPr>
      <w:hyperlink w:anchor="country-and-year-coverage">
        <w:r>
          <w:rPr>
            <w:rStyle w:val="Hyperlink"/>
          </w:rPr>
          <w:t xml:space="preserve">Country and year coverage</w:t>
        </w:r>
      </w:hyperlink>
    </w:p>
    <w:p>
      <w:pPr>
        <w:pStyle w:val="Compact"/>
        <w:numPr>
          <w:numId w:val="1002"/>
          <w:ilvl w:val="1"/>
        </w:numPr>
      </w:pPr>
      <w:hyperlink w:anchor="european-household-expenditure-deciles">
        <w:r>
          <w:rPr>
            <w:rStyle w:val="Hyperlink"/>
          </w:rPr>
          <w:t xml:space="preserve">European household expenditure deciles</w:t>
        </w:r>
      </w:hyperlink>
    </w:p>
    <w:p>
      <w:pPr>
        <w:pStyle w:val="Compact"/>
        <w:numPr>
          <w:numId w:val="1002"/>
          <w:ilvl w:val="1"/>
        </w:numPr>
      </w:pPr>
      <w:hyperlink w:anchor="limitations">
        <w:r>
          <w:rPr>
            <w:rStyle w:val="Hyperlink"/>
          </w:rPr>
          <w:t xml:space="preserve">Limitations</w:t>
        </w:r>
      </w:hyperlink>
    </w:p>
    <w:p>
      <w:pPr>
        <w:pStyle w:val="Compact"/>
        <w:numPr>
          <w:numId w:val="1004"/>
          <w:ilvl w:val="2"/>
        </w:numPr>
      </w:pPr>
      <w:hyperlink w:anchor="Xc9cc011df3901412df578718cd85618f03e30b3">
        <w:r>
          <w:rPr>
            <w:rStyle w:val="Hyperlink"/>
          </w:rPr>
          <w:t xml:space="preserve">Alternative method for income-stratified national household energy and carbon footprints</w:t>
        </w:r>
      </w:hyperlink>
    </w:p>
    <w:p>
      <w:pPr>
        <w:pStyle w:val="Compact"/>
        <w:numPr>
          <w:numId w:val="1001"/>
          <w:ilvl w:val="0"/>
        </w:numPr>
      </w:pPr>
      <w:hyperlink w:anchor="supplementary-results">
        <w:r>
          <w:rPr>
            <w:rStyle w:val="Hyperlink"/>
          </w:rPr>
          <w:t xml:space="preserve">Supplementary Results</w:t>
        </w:r>
      </w:hyperlink>
    </w:p>
    <w:p>
      <w:pPr>
        <w:pStyle w:val="Compact"/>
        <w:numPr>
          <w:numId w:val="1005"/>
          <w:ilvl w:val="1"/>
        </w:numPr>
      </w:pPr>
      <w:hyperlink w:anchor="Xe207d596d471af4703746a0b1b8f29567c88f87">
        <w:r>
          <w:rPr>
            <w:rStyle w:val="Hyperlink"/>
          </w:rPr>
          <w:t xml:space="preserve">Year 2005, using main method, EXIOBASE industry-by-industry</w:t>
        </w:r>
      </w:hyperlink>
    </w:p>
    <w:p>
      <w:pPr>
        <w:pStyle w:val="Compact"/>
        <w:numPr>
          <w:numId w:val="1005"/>
          <w:ilvl w:val="1"/>
        </w:numPr>
      </w:pPr>
      <w:hyperlink w:anchor="X284a105ff3fc9db6479552ecc7281970de71e88">
        <w:r>
          <w:rPr>
            <w:rStyle w:val="Hyperlink"/>
          </w:rPr>
          <w:t xml:space="preserve">Year 2010, using main method, EXIOBASE industry-by-industry</w:t>
        </w:r>
      </w:hyperlink>
    </w:p>
    <w:p>
      <w:pPr>
        <w:pStyle w:val="Compact"/>
        <w:numPr>
          <w:numId w:val="1005"/>
          <w:ilvl w:val="1"/>
        </w:numPr>
      </w:pPr>
      <w:hyperlink w:anchor="X16e25bf1cb58780369add2195c6c855688ff41a">
        <w:r>
          <w:rPr>
            <w:rStyle w:val="Hyperlink"/>
          </w:rPr>
          <w:t xml:space="preserve">Year 2010, using main method, EXIOBASE product-by-product</w:t>
        </w:r>
      </w:hyperlink>
    </w:p>
    <w:p>
      <w:pPr>
        <w:pStyle w:val="Compact"/>
        <w:numPr>
          <w:numId w:val="1005"/>
          <w:ilvl w:val="1"/>
        </w:numPr>
      </w:pPr>
      <w:hyperlink w:anchor="Xb20911a960b750614e7ef242a4c565accb73b3d">
        <w:r>
          <w:rPr>
            <w:rStyle w:val="Hyperlink"/>
          </w:rPr>
          <w:t xml:space="preserve">Year 2015, using alternative method, EXIOBASE industry-by-industry</w:t>
        </w:r>
      </w:hyperlink>
    </w:p>
    <w:p>
      <w:pPr>
        <w:pStyle w:val="Compact"/>
        <w:numPr>
          <w:numId w:val="1001"/>
          <w:ilvl w:val="0"/>
        </w:numPr>
      </w:pPr>
      <w:hyperlink w:anchor="units-of-analysis">
        <w:r>
          <w:rPr>
            <w:rStyle w:val="Hyperlink"/>
          </w:rPr>
          <w:t xml:space="preserve">Units of analysis</w:t>
        </w:r>
      </w:hyperlink>
    </w:p>
    <w:p>
      <w:pPr>
        <w:pStyle w:val="Compact"/>
        <w:numPr>
          <w:numId w:val="1006"/>
          <w:ilvl w:val="1"/>
        </w:numPr>
      </w:pPr>
      <w:hyperlink w:anchor="Xf329215321af9ee65f150ab66003812d0079232">
        <w:r>
          <w:rPr>
            <w:rStyle w:val="Hyperlink"/>
          </w:rPr>
          <w:t xml:space="preserve">Figure 5 from main paper in household final energy per capita</w:t>
        </w:r>
      </w:hyperlink>
    </w:p>
    <w:p>
      <w:pPr>
        <w:pStyle w:val="Compact"/>
        <w:numPr>
          <w:numId w:val="1001"/>
          <w:ilvl w:val="0"/>
        </w:numPr>
      </w:pPr>
      <w:hyperlink w:anchor="references">
        <w:r>
          <w:rPr>
            <w:rStyle w:val="Hyperlink"/>
          </w:rPr>
          <w:t xml:space="preserve">References</w:t>
        </w:r>
      </w:hyperlink>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r>
        <w:t xml:space="preserve"> </w:t>
      </w:r>
      <w:r>
        <w:t xml:space="preserve">(1)</w:t>
      </w:r>
      <w:r>
        <w:t xml:space="preserve">.</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Current publicly available EE-MRIOs do not have final demand expenditure stratified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7"/>
          <w:ilvl w:val="0"/>
        </w:numPr>
      </w:pPr>
      <w:r>
        <w:t xml:space="preserve">EE-MRIO: EXIOBASE version3.7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(2)</w:t>
      </w:r>
      <w:r>
        <w:t xml:space="preserve"> </w:t>
      </w:r>
      <w:r>
        <w:t xml:space="preserve">(3)</w:t>
      </w:r>
    </w:p>
    <w:p>
      <w:pPr>
        <w:numPr>
          <w:numId w:val="1007"/>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(4)</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(5)</w:t>
      </w:r>
      <w:r>
        <w:t xml:space="preserve">, using a variety of R packages</w:t>
      </w:r>
      <w:r>
        <w:t xml:space="preserve"> </w:t>
      </w:r>
      <w:r>
        <w:t xml:space="preserve">(6)</w:t>
      </w:r>
      <w:r>
        <w:t xml:space="preserve"> </w:t>
      </w:r>
      <w:r>
        <w:t xml:space="preserve">(7)</w:t>
      </w:r>
      <w:r>
        <w:t xml:space="preserve"> </w:t>
      </w:r>
      <w:r>
        <w:t xml:space="preserve">(8)</w:t>
      </w:r>
      <w:r>
        <w:t xml:space="preserve"> </w:t>
      </w:r>
      <w:r>
        <w:t xml:space="preserve">(9)</w:t>
      </w:r>
      <w:r>
        <w:t xml:space="preserve"> </w:t>
      </w:r>
      <w:r>
        <w:t xml:space="preserve">(10)</w:t>
      </w:r>
      <w:r>
        <w:t xml:space="preserve"> </w:t>
      </w:r>
      <w:r>
        <w:t xml:space="preserve">(11)</w:t>
      </w:r>
      <w:r>
        <w:t xml:space="preserve"> </w:t>
      </w:r>
      <w:r>
        <w:t xml:space="preserve">(12)</w:t>
      </w:r>
      <w:r>
        <w:t xml:space="preserve"> </w:t>
      </w:r>
      <w:r>
        <w:t xml:space="preserve">(13)</w:t>
      </w:r>
      <w:r>
        <w:t xml:space="preserve"> </w:t>
      </w:r>
      <w:r>
        <w:t xml:space="preserve">(14)</w:t>
      </w:r>
      <w:r>
        <w:t xml:space="preserve"> </w:t>
      </w:r>
      <w:r>
        <w:t xml:space="preserve">(15)</w:t>
      </w:r>
      <w:r>
        <w:t xml:space="preserve"> </w:t>
      </w:r>
      <w:r>
        <w:t xml:space="preserve">(16)</w:t>
      </w:r>
      <w:r>
        <w:t xml:space="preserve"> </w:t>
      </w:r>
      <w:r>
        <w:t xml:space="preserve">(17)</w:t>
      </w:r>
      <w:r>
        <w:t xml:space="preserve"> </w:t>
      </w:r>
      <w:r>
        <w:t xml:space="preserve">(18)</w:t>
      </w:r>
      <w:r>
        <w:t xml:space="preserve"> </w:t>
      </w:r>
      <w:r>
        <w:t xml:space="preserve">(19)</w:t>
      </w:r>
      <w:r>
        <w:t xml:space="preserve"> </w:t>
      </w:r>
      <w:r>
        <w:t xml:space="preserve">(20)</w:t>
      </w:r>
      <w:r>
        <w:t xml:space="preserve"> </w:t>
      </w:r>
      <w:r>
        <w:t xml:space="preserve">(21)</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(1)</w:t>
      </w:r>
      <w:r>
        <w:t xml:space="preserve">. EXIOBASE publishes the A matrix, the final demand matrix, the satellite extensions matrix, and satellite extensions direct from final demand matrix. We use the industry-by-industry (ixi) EXIOBASE data tables from EXIOBASE version3.7. This means 163 industry production sectors and 6 final demand categories for 49 regions worldwide (44 countries and 5 rest-of-world regions), from 1995 - 2016. All monetary units are in million current Euros. Stadler et al. (2018)</w:t>
      </w:r>
      <w:r>
        <w:t xml:space="preserve"> </w:t>
      </w:r>
      <w:r>
        <w:t xml:space="preserve">(2)</w:t>
      </w:r>
      <w:r>
        <w:t xml:space="preserve"> </w:t>
      </w:r>
      <w:r>
        <w:t xml:space="preserve">describe the EXIOBASE version3.7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(2)</w:t>
      </w:r>
      <w:r>
        <w:t xml:space="preserve"> </w:t>
      </w:r>
      <w:r>
        <w:t xml:space="preserve">describe the compilation of the energy extensions in EXIOBASE version3.7.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version3.7,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8"/>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8"/>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9"/>
          <w:ilvl w:val="0"/>
        </w:numPr>
      </w:pPr>
      <w:r>
        <w:t xml:space="preserve">‘</w:t>
      </w:r>
      <w:r>
        <w:t xml:space="preserve">Mean consumption expenditure by income quintile (hbs_exp_t133)</w:t>
      </w:r>
      <w:r>
        <w:t xml:space="preserve">’</w:t>
      </w:r>
    </w:p>
    <w:p>
      <w:pPr>
        <w:numPr>
          <w:numId w:val="1009"/>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 due to their importance for energy use and emissions.</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Corresponding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10"/>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10"/>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creating a correspondence table, assigning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correspond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i/>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i/>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i/>
          <w:b/>
        </w:rPr>
        <w:t xml:space="preserve">Table S3: Calculation of EE-MRIO household footprint stratified by income quintile, through multiplication of EE-MRIO household final demand expenditure per income quintile and sector by the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vector (TIV) calculated in the EE-MRIO (with only one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bfbd531a14099eb2827f97ea2991c0935e43b23"/>
      <w:r>
        <w:t xml:space="preserve">Correspondence between EXIOBASE and EUROSTAT HBS</w:t>
      </w:r>
      <w:bookmarkEnd w:id="32"/>
    </w:p>
    <w:p>
      <w:pPr>
        <w:pStyle w:val="FirstParagraph"/>
      </w:pPr>
      <w:r>
        <w:t xml:space="preserve">Table S4 shows which EUROSTAT HBS consumption category each EXIOBASE production sector corresponds to, along with our grouping of the EXIOBASE production sectors into the five aggregated final consumption categories we present in the main paper. The direct energy and carbon from households correspond to: heating/cooling (HH_HEAT) to CP045, mobility (HH_TRA) to CP072, and other (HH_OTHER) to CP05, respectively.</w:t>
      </w:r>
    </w:p>
    <w:p>
      <w:pPr>
        <w:pStyle w:val="BodyText"/>
      </w:pPr>
      <w:r>
        <w:rPr>
          <w:i/>
          <w:b/>
        </w:rPr>
        <w:t xml:space="preserve">Table S4: Correspondence between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version3.7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i/>
          <w:b/>
        </w:rPr>
        <w:t xml:space="preserve">Table S5: Country and year coverage between EXIOBASE and the EUROSTAT HBS. Rows with black text show countries that are represented in EXIOBASE, and an</w:t>
      </w:r>
      <w:r>
        <w:rPr>
          <w:i/>
          <w:b/>
        </w:rPr>
        <w:t xml:space="preserve"> </w:t>
      </w:r>
      <w:r>
        <w:rPr>
          <w:i/>
          <w:b/>
        </w:rPr>
        <w:t xml:space="preserve">‘</w:t>
      </w:r>
      <w:r>
        <w:rPr>
          <w:i/>
          <w:b/>
        </w:rPr>
        <w:t xml:space="preserve">x</w:t>
      </w:r>
      <w:r>
        <w:rPr>
          <w:i/>
          <w:b/>
        </w:rPr>
        <w:t xml:space="preserve">’</w:t>
      </w:r>
      <w:r>
        <w:rPr>
          <w:i/>
          <w:b/>
        </w:rPr>
        <w:t xml:space="preserve"> </w:t>
      </w:r>
      <w:r>
        <w:rPr>
          <w:i/>
          <w:b/>
        </w:rPr>
        <w:t xml:space="preserve">for those years where EUROSTAT HBS data also exists for that country. Rows with red text show countries where EUROSTAT HBS data exists, but who are not represented individually in EXIOBASE (they are in</w:t>
      </w:r>
      <w:r>
        <w:rPr>
          <w:i/>
          <w:b/>
        </w:rPr>
        <w:t xml:space="preserve"> </w:t>
      </w:r>
      <w:r>
        <w:rPr>
          <w:i/>
          <w:b/>
        </w:rPr>
        <w:t xml:space="preserve">‘</w:t>
      </w:r>
      <w:r>
        <w:rPr>
          <w:i/>
          <w:b/>
        </w:rPr>
        <w:t xml:space="preserve">rest-of-world</w:t>
      </w:r>
      <w:r>
        <w:rPr>
          <w:i/>
          <w:b/>
        </w:rPr>
        <w:t xml:space="preserve">’</w:t>
      </w:r>
      <w:r>
        <w:rPr>
          <w:i/>
          <w:b/>
        </w:rPr>
        <w:t xml:space="preserve"> </w:t>
      </w:r>
      <w:r>
        <w:rPr>
          <w:i/>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version3.7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i/>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i/>
          <w:b/>
        </w:rPr>
        <w:t xml:space="preserve">Table S7: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i/>
          <w:b/>
        </w:rPr>
        <w:t xml:space="preserve">Table S8: Identical to Table S2.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household-expenditure-deciles"/>
      <w:r>
        <w:t xml:space="preserve">European household expenditure deciles</w:t>
      </w:r>
      <w:bookmarkEnd w:id="35"/>
    </w:p>
    <w:p>
      <w:pPr>
        <w:pStyle w:val="FirstParagraph"/>
      </w:pPr>
      <w:r>
        <w:t xml:space="preserve">Each national income quintile has a household final demand expenditure, household energy footprint and household carbon footprint estimate allocated to it, which represents the average in the quintile,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in 2015.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in 2015."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i/>
          <w:b/>
        </w:rPr>
        <w:t xml:space="preserve">Figure S1: Percentage of population in bottom 4 European expenditure deciles in 2015.</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version3.7,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version3.7. This version assumes fixed product sales. Furthermore, because EXIOBASE version3.7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version3.7 in the final section of this SI document.</w:t>
      </w:r>
    </w:p>
    <w:p>
      <w:pPr>
        <w:pStyle w:val="BodyText"/>
      </w:pPr>
      <w:r>
        <w:t xml:space="preserve">The correspondence between the EUROSTAT HBS COICOP consumption categories and the industry production sectors in EXIOBASE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11"/>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12"/>
          <w:ilvl w:val="1"/>
        </w:numPr>
      </w:pPr>
      <w:r>
        <w:t xml:space="preserve">Trade and transport margins in percentage of final consumption expenditure by households: Export as text file (csv) - customize to include years 2005 to 2015 [accessed on: 15-04-2020]</w:t>
      </w:r>
    </w:p>
    <w:p>
      <w:pPr>
        <w:numPr>
          <w:numId w:val="1012"/>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i/>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i/>
          <w:b/>
        </w:rPr>
        <w:t xml:space="preserve">Table S10: Income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income quintile in base price and new sectoral pm values in base price (</w:t>
      </w:r>
      <w:r>
        <w:rPr>
          <w:i/>
          <w:b/>
        </w:rPr>
        <w:t xml:space="preserve">‘</w:t>
      </w:r>
      <w:r>
        <w:rPr>
          <w:i/>
          <w:b/>
        </w:rPr>
        <w:t xml:space="preserve">pps hh bp</w:t>
      </w:r>
      <w:r>
        <w:rPr>
          <w:i/>
          <w:b/>
        </w:rPr>
        <w:t xml:space="preserve">’</w:t>
      </w:r>
      <w:r>
        <w:rPr>
          <w:i/>
          <w:b/>
        </w:rPr>
        <w:t xml:space="preserve"> </w:t>
      </w:r>
      <w:r>
        <w:rPr>
          <w:i/>
          <w:b/>
        </w:rPr>
        <w:t xml:space="preserve">is the sum of</w:t>
      </w:r>
      <w:r>
        <w:rPr>
          <w:i/>
          <w:b/>
        </w:rPr>
        <w:t xml:space="preserve"> </w:t>
      </w:r>
      <w:r>
        <w:rPr>
          <w:i/>
          <w:b/>
        </w:rPr>
        <w:t xml:space="preserve">‘</w:t>
      </w:r>
      <w:r>
        <w:rPr>
          <w:i/>
          <w:b/>
        </w:rPr>
        <w:t xml:space="preserve">s1 (pps hh bp)</w:t>
      </w:r>
      <w:r>
        <w:rPr>
          <w:i/>
          <w:b/>
        </w:rPr>
        <w:t xml:space="preserve">’</w:t>
      </w:r>
      <w:r>
        <w:rPr>
          <w:i/>
          <w:b/>
        </w:rPr>
        <w:t xml:space="preserve"> </w:t>
      </w:r>
      <w:r>
        <w:rPr>
          <w:i/>
          <w:b/>
        </w:rPr>
        <w:t xml:space="preserve">and</w:t>
      </w:r>
      <w:r>
        <w:rPr>
          <w:i/>
          <w:b/>
        </w:rPr>
        <w:t xml:space="preserve"> </w:t>
      </w:r>
      <w:r>
        <w:rPr>
          <w:i/>
          <w:b/>
        </w:rPr>
        <w:t xml:space="preserve">‘</w:t>
      </w:r>
      <w:r>
        <w:rPr>
          <w:i/>
          <w:b/>
        </w:rPr>
        <w:t xml:space="preserve">s2 (pps hh bp)</w:t>
      </w:r>
      <w:r>
        <w:rPr>
          <w:i/>
          <w:b/>
        </w:rPr>
        <w:t xml:space="preserve">’</w:t>
      </w:r>
      <w:r>
        <w:rPr>
          <w:i/>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i/>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rPr>
          <w:i/>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i/>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(version3.7,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1" w:name="X8ab64a1c4293e2b6cca0857d4ded26fd043ee47"/>
      <w:r>
        <w:t xml:space="preserve">Year 2005, using main method, EXIOBASE industry-by-industry</w:t>
      </w:r>
      <w:bookmarkEnd w:id="41"/>
    </w:p>
    <w:p>
      <w:pPr>
        <w:pStyle w:val="FirstParagraph"/>
      </w:pPr>
      <w:r>
        <w:t xml:space="preserve">In 2005, total household final demand expenditure was 5.0359611 trn€, the energy footprint 102.7166541 EJ, and the carbon footprint 4365.7483981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3" w:name="X5d9efcd36e4367972a52fe6015f056da2f63880"/>
      <w:r>
        <w:t xml:space="preserve">Year 2010, using main method, EXIOBASE industry-by-industry</w:t>
      </w:r>
      <w:bookmarkEnd w:id="43"/>
    </w:p>
    <w:p>
      <w:pPr>
        <w:pStyle w:val="FirstParagraph"/>
      </w:pPr>
      <w:r>
        <w:t xml:space="preserve">In 2010, total household final demand expenditure was 5.6465553 trn€, the energy footprint 97.5739468 EJ, and the carbon footprint 4090.5716883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887914c40d3a64d6bed53f1a003de54650ba309"/>
      <w:r>
        <w:t xml:space="preserve">Year 2010, using main method, EXIOBASE product-by-product</w:t>
      </w:r>
      <w:bookmarkEnd w:id="45"/>
    </w:p>
    <w:p>
      <w:pPr>
        <w:pStyle w:val="FirstParagraph"/>
      </w:pPr>
      <w:r>
        <w:t xml:space="preserve">In 2010 but using the product-by-product version of EXIOBASE, total household final demand expenditure was 5.5781797 trn€, the energy footprint 94.6093679 EJ, and the carbon footprint 3957.4699948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0b073eea84b9d44b8e1ae7d47bb00d31b889183"/>
      <w:r>
        <w:t xml:space="preserve">Year 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adjusted to household per adult equivalent. The original numbers for the SSP and GEA-efficiency scenarios are from the International Institute for Applied Systems Analysis (IIASA) scenario database</w:t>
      </w:r>
      <w:r>
        <w:t xml:space="preserve"> </w:t>
      </w:r>
      <w:r>
        <w:t xml:space="preserve">(38)</w:t>
      </w:r>
      <w:r>
        <w:t xml:space="preserve"> </w:t>
      </w:r>
      <w:r>
        <w:t xml:space="preserve">(39)</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6-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i/>
          <w:b/>
        </w:rPr>
        <w:t xml:space="preserve">Figure S6: Number of adult equivalents per European expenditure decile and estimated number of people per European expenditure decile.</w:t>
      </w:r>
    </w:p>
    <w:p>
      <w:pPr>
        <w:pStyle w:val="Heading2"/>
      </w:pPr>
      <w:bookmarkStart w:id="51" w:name="Xf329215321af9ee65f150ab66003812d0079232"/>
      <w:r>
        <w:t xml:space="preserve">Figure 5 from main paper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for example, 53 total GJ/capita becomes: 53 * 0.63 = 33 household GJ/capita.</w:t>
      </w:r>
    </w:p>
    <w:p>
      <w:pPr>
        <w:pStyle w:val="BodyText"/>
      </w:pPr>
      <w:r>
        <w:drawing>
          <wp:inline>
            <wp:extent cx="5943600" cy="297180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52"/>
                    <a:stretch>
                      <a:fillRect/>
                    </a:stretch>
                  </pic:blipFill>
                  <pic:spPr bwMode="auto">
                    <a:xfrm>
                      <a:off x="0" y="0"/>
                      <a:ext cx="5943600" cy="2971800"/>
                    </a:xfrm>
                    <a:prstGeom prst="rect">
                      <a:avLst/>
                    </a:prstGeom>
                    <a:noFill/>
                    <a:ln w="9525">
                      <a:noFill/>
                      <a:headEnd/>
                      <a:tailEnd/>
                    </a:ln>
                  </pic:spPr>
                </pic:pic>
              </a:graphicData>
            </a:graphic>
          </wp:inline>
        </w:drawing>
      </w:r>
    </w:p>
    <w:p>
      <w:r>
        <w:br w:type="page"/>
      </w:r>
    </w:p>
    <w:p>
      <w:pPr>
        <w:pStyle w:val="Heading1"/>
      </w:pPr>
      <w:bookmarkStart w:id="53" w:name="references"/>
      <w:r>
        <w:t xml:space="preserve">References</w:t>
      </w:r>
      <w:bookmarkEnd w:id="53"/>
    </w:p>
    <w:bookmarkStart w:id="115" w:name="refs"/>
    <w:bookmarkStart w:id="54" w:name="ref-miller_input-output_1985"/>
    <w:p>
      <w:pPr>
        <w:pStyle w:val="Bibliography"/>
      </w:pPr>
      <w:r>
        <w:t xml:space="preserve">1. Miller RE, Blair PD. Input-output analysis: Foundations and extensions. Englewood Cliffs, N.J: Prentice-Hall; 1985.</w:t>
      </w:r>
      <w:r>
        <w:t xml:space="preserve"> </w:t>
      </w:r>
    </w:p>
    <w:bookmarkEnd w:id="54"/>
    <w:bookmarkStart w:id="55" w:name="ref-stadler_exiobase_2018"/>
    <w:p>
      <w:pPr>
        <w:pStyle w:val="Bibliography"/>
      </w:pPr>
      <w:r>
        <w:t xml:space="preserve">2. Stadler K, Wood R, Bulavskaya T, Södersten C-J, Simas M, Schmidt S, et al. EXIOBASE 3: Developing a Time Series of Detailed Environmentally Extended Multi-Regional Input-Output Tables. Journal of Industrial Ecology. 2018;22(3):502–15.</w:t>
      </w:r>
      <w:r>
        <w:t xml:space="preserve"> </w:t>
      </w:r>
    </w:p>
    <w:bookmarkEnd w:id="55"/>
    <w:bookmarkStart w:id="56" w:name="ref-stadler_exiobase_2019"/>
    <w:p>
      <w:pPr>
        <w:pStyle w:val="Bibliography"/>
      </w:pPr>
      <w:r>
        <w:t xml:space="preserve">3. Stadler K, Wood R, Bulavskaya T, Södersten C-J, Simas M, Schmidt S, et al. EXIOBASE 3. Zenodo; 2019.</w:t>
      </w:r>
      <w:r>
        <w:t xml:space="preserve"> </w:t>
      </w:r>
    </w:p>
    <w:bookmarkEnd w:id="56"/>
    <w:bookmarkStart w:id="57" w:name="ref-eurostat_database_2021"/>
    <w:p>
      <w:pPr>
        <w:pStyle w:val="Bibliography"/>
      </w:pPr>
      <w:r>
        <w:t xml:space="preserve">4. Eurostat. Database - Household budget surveys - Eurostat [Internet]. 2021 [cited 2021 Jan 20]. Available from:</w:t>
      </w:r>
      <w:r>
        <w:t xml:space="preserve"> </w:t>
      </w:r>
      <w:hyperlink r:id="rId23">
        <w:r>
          <w:rPr>
            <w:rStyle w:val="Hyperlink"/>
          </w:rPr>
          <w:t xml:space="preserve">https://ec.europa.eu/eurostat/web/household-budget-surveys/database</w:t>
        </w:r>
      </w:hyperlink>
    </w:p>
    <w:bookmarkEnd w:id="57"/>
    <w:bookmarkStart w:id="59" w:name="ref-r_core_team_r:_2020"/>
    <w:p>
      <w:pPr>
        <w:pStyle w:val="Bibliography"/>
      </w:pPr>
      <w:r>
        <w:t xml:space="preserve">5. R Core Team. R: A Language and Environment for Statistical Computing [Internet]. Vienna, Austria: R Foundation for Statistical Computing; 2020. Available from:</w:t>
      </w:r>
      <w:r>
        <w:t xml:space="preserve"> </w:t>
      </w:r>
      <w:hyperlink r:id="rId58">
        <w:r>
          <w:rPr>
            <w:rStyle w:val="Hyperlink"/>
          </w:rPr>
          <w:t xml:space="preserve">https://www.R-project.org/</w:t>
        </w:r>
      </w:hyperlink>
    </w:p>
    <w:bookmarkEnd w:id="59"/>
    <w:bookmarkStart w:id="61" w:name="ref-wickham_welcome_2019"/>
    <w:p>
      <w:pPr>
        <w:pStyle w:val="Bibliography"/>
      </w:pPr>
      <w:r>
        <w:t xml:space="preserve">6. Wickham H, Averick M, Bryan J, Chang W, McGowan LD, François R, et al. Welcome to the Tidyverse. Journal of Open Source Software [Internet]. 2019 Nov [cited 2021 Feb 1];4(43):1686. Available from:</w:t>
      </w:r>
      <w:r>
        <w:t xml:space="preserve"> </w:t>
      </w:r>
      <w:hyperlink r:id="rId60">
        <w:r>
          <w:rPr>
            <w:rStyle w:val="Hyperlink"/>
          </w:rPr>
          <w:t xml:space="preserve">https://joss.theoj.org/papers/10.21105/joss.01686</w:t>
        </w:r>
      </w:hyperlink>
    </w:p>
    <w:bookmarkEnd w:id="61"/>
    <w:bookmarkStart w:id="63" w:name="ref-firke_janitor:_2021"/>
    <w:p>
      <w:pPr>
        <w:pStyle w:val="Bibliography"/>
      </w:pPr>
      <w:r>
        <w:t xml:space="preserve">7. Firke S, Denney B, Haid C, Knight R, Grosser M, Zadra J. Janitor: Simple Tools for Examining and Cleaning Dirty Data [Internet]. 2021 [cited 2021 Feb 1]. Available from:</w:t>
      </w:r>
      <w:r>
        <w:t xml:space="preserve"> </w:t>
      </w:r>
      <w:hyperlink r:id="rId62">
        <w:r>
          <w:rPr>
            <w:rStyle w:val="Hyperlink"/>
          </w:rPr>
          <w:t xml:space="preserve">https://CRAN.R-project.org/package=janitor</w:t>
        </w:r>
      </w:hyperlink>
    </w:p>
    <w:bookmarkEnd w:id="63"/>
    <w:bookmarkStart w:id="65" w:name="ref-muller_here:_2020"/>
    <w:p>
      <w:pPr>
        <w:pStyle w:val="Bibliography"/>
      </w:pPr>
      <w:r>
        <w:t xml:space="preserve">8. Müller K, Bryan J. Here: A Simpler Way to Find Your Files [Internet]. 2020 [cited 2021 Feb 1]. Available from:</w:t>
      </w:r>
      <w:r>
        <w:t xml:space="preserve"> </w:t>
      </w:r>
      <w:hyperlink r:id="rId64">
        <w:r>
          <w:rPr>
            <w:rStyle w:val="Hyperlink"/>
          </w:rPr>
          <w:t xml:space="preserve">https://CRAN.R-project.org/package=here</w:t>
        </w:r>
      </w:hyperlink>
    </w:p>
    <w:bookmarkEnd w:id="65"/>
    <w:bookmarkStart w:id="67" w:name="ref-piburn_wbstats:_2020"/>
    <w:p>
      <w:pPr>
        <w:pStyle w:val="Bibliography"/>
      </w:pPr>
      <w:r>
        <w:t xml:space="preserve">9. Piburn J, UT-Battelle, LLC. Wbstats: Programmatic Access to Data and Statistics from the World Bank API [Internet]. 2020 [cited 2021 Feb 1]. Available from:</w:t>
      </w:r>
      <w:r>
        <w:t xml:space="preserve"> </w:t>
      </w:r>
      <w:hyperlink r:id="rId66">
        <w:r>
          <w:rPr>
            <w:rStyle w:val="Hyperlink"/>
          </w:rPr>
          <w:t xml:space="preserve">https://CRAN.R-project.org/package=wbstats</w:t>
        </w:r>
      </w:hyperlink>
    </w:p>
    <w:bookmarkEnd w:id="67"/>
    <w:bookmarkStart w:id="69" w:name="ref-buchta_isocodes:_2020"/>
    <w:p>
      <w:pPr>
        <w:pStyle w:val="Bibliography"/>
      </w:pPr>
      <w:r>
        <w:t xml:space="preserve">10. Buchta C, Hornik [aut K, cre. ISOcodes: Selected ISO Codes [Internet]. 2020 [cited 2021 Feb 1]. Available from:</w:t>
      </w:r>
      <w:r>
        <w:t xml:space="preserve"> </w:t>
      </w:r>
      <w:hyperlink r:id="rId68">
        <w:r>
          <w:rPr>
            <w:rStyle w:val="Hyperlink"/>
          </w:rPr>
          <w:t xml:space="preserve">https://CRAN.R-project.org/package=ISOcodes</w:t>
        </w:r>
      </w:hyperlink>
    </w:p>
    <w:bookmarkEnd w:id="69"/>
    <w:bookmarkStart w:id="71" w:name="ref-garnier_viridis:_2018"/>
    <w:p>
      <w:pPr>
        <w:pStyle w:val="Bibliography"/>
      </w:pPr>
      <w:r>
        <w:t xml:space="preserve">11. Garnier S, Ross N, Rudis B, Sciaini M, Scherer C. Viridis: Default Color Maps from ’matplotlib’ [Internet]. 2018 [cited 2021 Feb 1]. Available from:</w:t>
      </w:r>
      <w:r>
        <w:t xml:space="preserve"> </w:t>
      </w:r>
      <w:hyperlink r:id="rId70">
        <w:r>
          <w:rPr>
            <w:rStyle w:val="Hyperlink"/>
          </w:rPr>
          <w:t xml:space="preserve">https://CRAN.R-project.org/package=viridis</w:t>
        </w:r>
      </w:hyperlink>
    </w:p>
    <w:bookmarkEnd w:id="71"/>
    <w:bookmarkStart w:id="73" w:name="ref-rudis_hrbrthemes:_2020"/>
    <w:p>
      <w:pPr>
        <w:pStyle w:val="Bibliography"/>
      </w:pPr>
      <w:r>
        <w:t xml:space="preserve">12. Rudis B, Kennedy P, Reiner P, support) DW( axis, Adam X, Fonts) G(C&amp;TW, et al. Hrbrthemes: Additional Themes, Theme Components and Utilities for ’ggplot2’ [Internet]. 2020 [cited 2021 Feb 1]. Available from:</w:t>
      </w:r>
      <w:r>
        <w:t xml:space="preserve"> </w:t>
      </w:r>
      <w:hyperlink r:id="rId72">
        <w:r>
          <w:rPr>
            <w:rStyle w:val="Hyperlink"/>
          </w:rPr>
          <w:t xml:space="preserve">https://CRAN.R-project.org/package=hrbrthemes</w:t>
        </w:r>
      </w:hyperlink>
    </w:p>
    <w:bookmarkEnd w:id="73"/>
    <w:bookmarkStart w:id="75" w:name="ref-ram_wesanderson:_2018"/>
    <w:p>
      <w:pPr>
        <w:pStyle w:val="Bibliography"/>
      </w:pPr>
      <w:r>
        <w:t xml:space="preserve">13. Ram K, Wickham H, Richards C, Baggett A. Wesanderson: A Wes Anderson Palette Generator [Internet]. 2018 [cited 2021 Feb 1]. Available from:</w:t>
      </w:r>
      <w:r>
        <w:t xml:space="preserve"> </w:t>
      </w:r>
      <w:hyperlink r:id="rId74">
        <w:r>
          <w:rPr>
            <w:rStyle w:val="Hyperlink"/>
          </w:rPr>
          <w:t xml:space="preserve">https://CRAN.R-project.org/package=wesanderson</w:t>
        </w:r>
      </w:hyperlink>
    </w:p>
    <w:bookmarkEnd w:id="75"/>
    <w:bookmarkStart w:id="77" w:name="ref-hester_glue:_2020"/>
    <w:p>
      <w:pPr>
        <w:pStyle w:val="Bibliography"/>
      </w:pPr>
      <w:r>
        <w:t xml:space="preserve">14. Hester J. Glue: Interpreted String Literals [Internet]. 2020 [cited 2021 Feb 1]. Available from:</w:t>
      </w:r>
      <w:r>
        <w:t xml:space="preserve"> </w:t>
      </w:r>
      <w:hyperlink r:id="rId76">
        <w:r>
          <w:rPr>
            <w:rStyle w:val="Hyperlink"/>
          </w:rPr>
          <w:t xml:space="preserve">https://CRAN.R-project.org/package=glue</w:t>
        </w:r>
      </w:hyperlink>
    </w:p>
    <w:bookmarkEnd w:id="77"/>
    <w:bookmarkStart w:id="79" w:name="ref-wilke_ggridges:_2021"/>
    <w:p>
      <w:pPr>
        <w:pStyle w:val="Bibliography"/>
      </w:pPr>
      <w:r>
        <w:t xml:space="preserve">15. Wilke CO. Ggridges: Ridgeline Plots in ’ggplot2’ [Internet]. 2021 [cited 2021 Feb 1]. Available from:</w:t>
      </w:r>
      <w:r>
        <w:t xml:space="preserve"> </w:t>
      </w:r>
      <w:hyperlink r:id="rId78">
        <w:r>
          <w:rPr>
            <w:rStyle w:val="Hyperlink"/>
          </w:rPr>
          <w:t xml:space="preserve">https://CRAN.R-project.org/package=ggridges</w:t>
        </w:r>
      </w:hyperlink>
    </w:p>
    <w:bookmarkEnd w:id="79"/>
    <w:bookmarkStart w:id="81" w:name="ref-pedersen_patchwork:_2020"/>
    <w:p>
      <w:pPr>
        <w:pStyle w:val="Bibliography"/>
      </w:pPr>
      <w:r>
        <w:t xml:space="preserve">16. Pedersen TL. Patchwork: The Composer of Plots [Internet]. 2020 [cited 2021 Feb 1]. Available from:</w:t>
      </w:r>
      <w:r>
        <w:t xml:space="preserve"> </w:t>
      </w:r>
      <w:hyperlink r:id="rId80">
        <w:r>
          <w:rPr>
            <w:rStyle w:val="Hyperlink"/>
          </w:rPr>
          <w:t xml:space="preserve">https://CRAN.R-project.org/package=patchwork</w:t>
        </w:r>
      </w:hyperlink>
    </w:p>
    <w:bookmarkEnd w:id="81"/>
    <w:bookmarkStart w:id="83" w:name="ref-zhu_kableextra:_2020"/>
    <w:p>
      <w:pPr>
        <w:pStyle w:val="Bibliography"/>
      </w:pPr>
      <w:r>
        <w:t xml:space="preserve">17. Zhu H, Travison T, Tsai T, Beasley W, Xie Y, Yu G, et al. kableExtra: Construct Complex Table with ’kable’ and Pipe Syntax [Internet]. 2020 [cited 2021 Feb 1]. Available from:</w:t>
      </w:r>
      <w:r>
        <w:t xml:space="preserve"> </w:t>
      </w:r>
      <w:hyperlink r:id="rId82">
        <w:r>
          <w:rPr>
            <w:rStyle w:val="Hyperlink"/>
          </w:rPr>
          <w:t xml:space="preserve">https://CRAN.R-project.org/package=kableExtra</w:t>
        </w:r>
      </w:hyperlink>
    </w:p>
    <w:bookmarkEnd w:id="83"/>
    <w:bookmarkStart w:id="85" w:name="ref-wickham_readxl:_2019"/>
    <w:p>
      <w:pPr>
        <w:pStyle w:val="Bibliography"/>
      </w:pPr>
      <w:r>
        <w:t xml:space="preserve">18.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4">
        <w:r>
          <w:rPr>
            <w:rStyle w:val="Hyperlink"/>
          </w:rPr>
          <w:t xml:space="preserve">https://CRAN.R-project.org/package=readxl</w:t>
        </w:r>
      </w:hyperlink>
    </w:p>
    <w:bookmarkEnd w:id="85"/>
    <w:bookmarkStart w:id="87" w:name="ref-gohel_flextable:_2021"/>
    <w:p>
      <w:pPr>
        <w:pStyle w:val="Bibliography"/>
      </w:pPr>
      <w:r>
        <w:t xml:space="preserve">19. Gohel D, Fazilleau Q, output) MN( for docx, Robert T, footnotes) MB(, reference) AY( for bookdown cross, et al. Flextable: Functions for Tabular Reporting [Internet]. 2021 [cited 2021 Feb 1]. Available from:</w:t>
      </w:r>
      <w:r>
        <w:t xml:space="preserve"> </w:t>
      </w:r>
      <w:hyperlink r:id="rId86">
        <w:r>
          <w:rPr>
            <w:rStyle w:val="Hyperlink"/>
          </w:rPr>
          <w:t xml:space="preserve">https://CRAN.R-project.org/package=flextable</w:t>
        </w:r>
      </w:hyperlink>
    </w:p>
    <w:bookmarkEnd w:id="87"/>
    <w:bookmarkStart w:id="89" w:name="ref-south_rworldmap:_2016"/>
    <w:p>
      <w:pPr>
        <w:pStyle w:val="Bibliography"/>
      </w:pPr>
      <w:r>
        <w:t xml:space="preserve">20. South A. Rworldmap: Mapping Global Data [Internet]. 2016 [cited 2021 Feb 1]. Available from:</w:t>
      </w:r>
      <w:r>
        <w:t xml:space="preserve"> </w:t>
      </w:r>
      <w:hyperlink r:id="rId88">
        <w:r>
          <w:rPr>
            <w:rStyle w:val="Hyperlink"/>
          </w:rPr>
          <w:t xml:space="preserve">https://CRAN.R-project.org/package=rworldmap</w:t>
        </w:r>
      </w:hyperlink>
    </w:p>
    <w:bookmarkEnd w:id="89"/>
    <w:bookmarkStart w:id="91" w:name="ref-arnold_ggthemes:_2021"/>
    <w:p>
      <w:pPr>
        <w:pStyle w:val="Bibliography"/>
      </w:pPr>
      <w:r>
        <w:t xml:space="preserve">21. Arnold JB, Daroczi G, Werth B, Weitzner B, Kunst J, Auguie B, et al. Ggthemes: Extra Themes, Scales and Geoms for ’ggplot2’ [Internet]. 2021 [cited 2021 Feb 1]. Available from:</w:t>
      </w:r>
      <w:r>
        <w:t xml:space="preserve"> </w:t>
      </w:r>
      <w:hyperlink r:id="rId90">
        <w:r>
          <w:rPr>
            <w:rStyle w:val="Hyperlink"/>
          </w:rPr>
          <w:t xml:space="preserve">https://CRAN.R-project.org/package=ggthemes</w:t>
        </w:r>
      </w:hyperlink>
    </w:p>
    <w:bookmarkEnd w:id="91"/>
    <w:bookmarkStart w:id="92"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2"/>
    <w:bookmarkStart w:id="93" w:name="ref-eurostat_manual_2015"/>
    <w:p>
      <w:pPr>
        <w:pStyle w:val="Bibliography"/>
      </w:pPr>
      <w:r>
        <w:t xml:space="preserve">23. Eurostat. Manual for air emission accounts. Luxembourg: Publications Office of the European Union; 2015.</w:t>
      </w:r>
      <w:r>
        <w:t xml:space="preserve"> </w:t>
      </w:r>
    </w:p>
    <w:bookmarkEnd w:id="93"/>
    <w:bookmarkStart w:id="94" w:name="ref-eurostat_eurostat_2021"/>
    <w:p>
      <w:pPr>
        <w:pStyle w:val="Bibliography"/>
      </w:pPr>
      <w:r>
        <w:t xml:space="preserve">24. Eurostat. Eurostat - Data Explorer - Energy supply and use by NACE Rev. 2 activity [Internet]. 2021 [cited 2020 Aug 11]. Available from:</w:t>
      </w:r>
      <w:r>
        <w:t xml:space="preserve"> </w:t>
      </w:r>
      <w:hyperlink r:id="rId27">
        <w:r>
          <w:rPr>
            <w:rStyle w:val="Hyperlink"/>
          </w:rPr>
          <w:t xml:space="preserve">http://appsso.eurostat.ec.europa.eu/nui/show.do?dataset=env_ac_pefasu</w:t>
        </w:r>
      </w:hyperlink>
    </w:p>
    <w:bookmarkEnd w:id="94"/>
    <w:bookmarkStart w:id="95" w:name="ref-eurostat_eurostat_2021-1"/>
    <w:p>
      <w:pPr>
        <w:pStyle w:val="Bibliography"/>
      </w:pPr>
      <w:r>
        <w:t xml:space="preserve">25. Eurostat. Eurostat - Data Explorer - Air emissions accounts by NACE Rev. 2 activity [Internet]. 2021 [cited 2021 Jan 20]. Available from:</w:t>
      </w:r>
      <w:r>
        <w:t xml:space="preserve"> </w:t>
      </w:r>
      <w:hyperlink r:id="rId28">
        <w:r>
          <w:rPr>
            <w:rStyle w:val="Hyperlink"/>
          </w:rPr>
          <w:t xml:space="preserve">https://appsso.eurostat.ec.europa.eu/nui/show.do?dataset=env_ac_ainah_r2&amp;lang=en</w:t>
        </w:r>
      </w:hyperlink>
    </w:p>
    <w:bookmarkEnd w:id="95"/>
    <w:bookmarkStart w:id="97"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6">
        <w:r>
          <w:rPr>
            <w:rStyle w:val="Hyperlink"/>
          </w:rPr>
          <w:t xml:space="preserve">https://ec.europa.eu/eurostat/documents/54431/1966394/HBS2015_Transmission_DOC_V3.2018_05_22.pdf</w:t>
        </w:r>
      </w:hyperlink>
    </w:p>
    <w:bookmarkEnd w:id="97"/>
    <w:bookmarkStart w:id="99" w:name="ref-eurostat_eurostat_2021-2"/>
    <w:p>
      <w:pPr>
        <w:pStyle w:val="Bibliography"/>
      </w:pPr>
      <w:r>
        <w:t xml:space="preserve">27. Eurostat. Eurostat - Data Explorer - Number of private households by household composition, number of children and age of youngest child (1 000) [Internet]. 2021 [cited 2021 Jan 20]. Available from:</w:t>
      </w:r>
      <w:r>
        <w:t xml:space="preserve"> </w:t>
      </w:r>
      <w:hyperlink r:id="rId98">
        <w:r>
          <w:rPr>
            <w:rStyle w:val="Hyperlink"/>
          </w:rPr>
          <w:t xml:space="preserve">https://appsso.eurostat.ec.europa.eu/nui/show.do?dataset=lfst_hhnhtych&amp;lang=en</w:t>
        </w:r>
      </w:hyperlink>
    </w:p>
    <w:bookmarkEnd w:id="99"/>
    <w:bookmarkStart w:id="100" w:name="ref-statistics_norway_10986:_2021"/>
    <w:p>
      <w:pPr>
        <w:pStyle w:val="Bibliography"/>
      </w:pPr>
      <w:r>
        <w:t xml:space="preserve">28. Statistics Norway. 10986: Private households and persons in private households, by type of household (C) 2005 - 2020 [Internet]. PX-Web SSB. 2021 [cited 2021 Jan 20]. Available from:</w:t>
      </w:r>
      <w:r>
        <w:t xml:space="preserve"> </w:t>
      </w:r>
      <w:hyperlink r:id="rId30">
        <w:r>
          <w:rPr>
            <w:rStyle w:val="Hyperlink"/>
          </w:rPr>
          <w:t xml:space="preserve">https://www.ssb.no/en/statbank/table/10986/</w:t>
        </w:r>
      </w:hyperlink>
    </w:p>
    <w:bookmarkEnd w:id="100"/>
    <w:bookmarkStart w:id="102" w:name="ref-eurostat_eu_2020"/>
    <w:p>
      <w:pPr>
        <w:pStyle w:val="Bibliography"/>
      </w:pPr>
      <w:r>
        <w:t xml:space="preserve">29.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3" w:name="ref-moran_convergence_2014"/>
    <w:p>
      <w:pPr>
        <w:pStyle w:val="Bibliography"/>
      </w:pPr>
      <w:r>
        <w:t xml:space="preserve">30. Moran D, Wood R. Convergence Between the Eora, Wiod, Exiobase, and Openeu’s Consumption-Based Carbon Accounts. Economic Systems Research. 2014 Jul;26(3):245–61.</w:t>
      </w:r>
      <w:r>
        <w:t xml:space="preserve"> </w:t>
      </w:r>
    </w:p>
    <w:bookmarkEnd w:id="103"/>
    <w:bookmarkStart w:id="104" w:name="ref-ivanova_unequal_2020"/>
    <w:p>
      <w:pPr>
        <w:pStyle w:val="Bibliography"/>
      </w:pPr>
      <w:r>
        <w:t xml:space="preserve">31. Ivanova D, Wood R. The unequal distribution of household carbon footprints in Europe and its link to sustainability. Global Sustainability. 2020;3.</w:t>
      </w:r>
      <w:r>
        <w:t xml:space="preserve"> </w:t>
      </w:r>
    </w:p>
    <w:bookmarkEnd w:id="104"/>
    <w:bookmarkStart w:id="105" w:name="ref-gore_t._confronting_2020"/>
    <w:p>
      <w:pPr>
        <w:pStyle w:val="Bibliography"/>
      </w:pPr>
      <w:r>
        <w:t xml:space="preserve">32. Gore, T., Alestig, M. Confronting carbon inequality in the European Union. Oxfam International; 2020.</w:t>
      </w:r>
      <w:r>
        <w:t xml:space="preserve"> </w:t>
      </w:r>
    </w:p>
    <w:bookmarkEnd w:id="105"/>
    <w:bookmarkStart w:id="106" w:name="ref-sommer_carbon_2017"/>
    <w:p>
      <w:pPr>
        <w:pStyle w:val="Bibliography"/>
      </w:pPr>
      <w:r>
        <w:t xml:space="preserve">33. Sommer M, Kratena K. The Carbon Footprint of European Households and Income Distribution. Ecological Economics. 2017;136(C):62–72.</w:t>
      </w:r>
      <w:r>
        <w:t xml:space="preserve"> </w:t>
      </w:r>
    </w:p>
    <w:bookmarkEnd w:id="106"/>
    <w:bookmarkStart w:id="107" w:name="ref-bianco_understanding_2019"/>
    <w:p>
      <w:pPr>
        <w:pStyle w:val="Bibliography"/>
      </w:pPr>
      <w:r>
        <w:t xml:space="preserve">34. Bianco V, Cascetta F, Marino A, Nardini S. Understanding energy consumption and carbon emissions in Europe: A focus on inequality issues. Energy. 2019 Mar;170:120–30.</w:t>
      </w:r>
      <w:r>
        <w:t xml:space="preserve"> </w:t>
      </w:r>
    </w:p>
    <w:bookmarkEnd w:id="107"/>
    <w:bookmarkStart w:id="108" w:name="ref-sovacool_reviewing_2017"/>
    <w:p>
      <w:pPr>
        <w:pStyle w:val="Bibliography"/>
      </w:pPr>
      <w:r>
        <w:t xml:space="preserve">35. Sovacool BK. Reviewing, Reforming, and Rethinking Global Energy Subsidies: Towards a Political Economy Research Agenda. Ecological Economics. 2017 May;135:150–63.</w:t>
      </w:r>
      <w:r>
        <w:t xml:space="preserve"> </w:t>
      </w:r>
    </w:p>
    <w:bookmarkEnd w:id="108"/>
    <w:bookmarkStart w:id="109" w:name="ref-oecd_sut_2021"/>
    <w:p>
      <w:pPr>
        <w:pStyle w:val="Bibliography"/>
      </w:pPr>
      <w:r>
        <w:t xml:space="preserve">36. OECD. SUT Indicators : Trade and transport margins in percentage of total supply at purchasers’ prices [Internet]. 2021 [cited 2021 Jan 20]. Available from:</w:t>
      </w:r>
      <w:r>
        <w:t xml:space="preserve"> </w:t>
      </w:r>
      <w:hyperlink r:id="rId39">
        <w:r>
          <w:rPr>
            <w:rStyle w:val="Hyperlink"/>
          </w:rPr>
          <w:t xml:space="preserve">https://stats.oecd.org/index.aspx?queryid=84864#</w:t>
        </w:r>
      </w:hyperlink>
    </w:p>
    <w:bookmarkEnd w:id="109"/>
    <w:bookmarkStart w:id="110"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2018 Jun;3:517–25.</w:t>
      </w:r>
      <w:r>
        <w:t xml:space="preserve"> </w:t>
      </w:r>
    </w:p>
    <w:bookmarkEnd w:id="110"/>
    <w:bookmarkStart w:id="111"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2017 Jan;42:153–68.</w:t>
      </w:r>
      <w:r>
        <w:t xml:space="preserve"> </w:t>
      </w:r>
    </w:p>
    <w:bookmarkEnd w:id="111"/>
    <w:bookmarkStart w:id="113" w:name="ref-iiasa_gea_2012"/>
    <w:p>
      <w:pPr>
        <w:pStyle w:val="Bibliography"/>
      </w:pPr>
      <w:r>
        <w:t xml:space="preserve">39. IIASA. GEA Scenario database (public) [Internet]. 2012 [cited 2021 Jan 20]. Available from:</w:t>
      </w:r>
      <w:r>
        <w:t xml:space="preserve"> </w:t>
      </w:r>
      <w:hyperlink r:id="rId112">
        <w:r>
          <w:rPr>
            <w:rStyle w:val="Hyperlink"/>
          </w:rPr>
          <w:t xml:space="preserve">https://tntcat.iiasa.ac.at/geadb/dsd?Action=htmlpage&amp;page=about</w:t>
        </w:r>
      </w:hyperlink>
    </w:p>
    <w:bookmarkEnd w:id="113"/>
    <w:bookmarkStart w:id="114" w:name="ref-millward-hopkins_providing_2020"/>
    <w:p>
      <w:pPr>
        <w:pStyle w:val="Bibliography"/>
      </w:pPr>
      <w:r>
        <w:t xml:space="preserve">40. Millward-Hopkins J, Steinberger JK, Rao ND, Oswald Y. Providing decent living with minimum energy: A global scenario. Global Environmental Change. 2020 Nov;65:102168.</w:t>
      </w:r>
      <w:r>
        <w:t xml:space="preserve"> </w:t>
      </w:r>
    </w:p>
    <w:bookmarkEnd w:id="114"/>
    <w:bookmarkEnd w:id="115"/>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2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1"/>
  </w:num>
  <w:num w:numId="1004">
    <w:abstractNumId w:val="991"/>
  </w:num>
  <w:num w:numId="1005">
    <w:abstractNumId w:val="991"/>
  </w:num>
  <w:num w:numId="1006">
    <w:abstractNumId w:val="991"/>
  </w:num>
  <w:num w:numId="1007">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1">
    <w:abstractNumId w:val="991"/>
  </w:num>
  <w:num w:numId="101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8" Target="https://appsso.eurostat.ec.europa.eu/nui/show.do?dataset=lfst_hhnhtych&amp;lang=en" TargetMode="External" /><Relationship Type="http://schemas.openxmlformats.org/officeDocument/2006/relationships/hyperlink" Id="rId96"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60" Target="https://joss.theoj.org/papers/10.21105/joss.01686" TargetMode="External" /><Relationship Type="http://schemas.openxmlformats.org/officeDocument/2006/relationships/hyperlink" Id="rId39" Target="https://stats.oecd.org/index.aspx?queryid=84864#" TargetMode="External" /><Relationship Type="http://schemas.openxmlformats.org/officeDocument/2006/relationships/hyperlink" Id="rId112" Target="https://tntcat.iiasa.ac.at/geadb/dsd?Action=htmlpage&amp;page=about" TargetMode="External" /><Relationship Type="http://schemas.openxmlformats.org/officeDocument/2006/relationships/hyperlink" Id="rId58" Target="https://www.R-project.org/"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8" Target="https://appsso.eurostat.ec.europa.eu/nui/show.do?dataset=lfst_hhnhtych&amp;lang=en" TargetMode="External" /><Relationship Type="http://schemas.openxmlformats.org/officeDocument/2006/relationships/hyperlink" Id="rId96"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60" Target="https://joss.theoj.org/papers/10.21105/joss.01686" TargetMode="External" /><Relationship Type="http://schemas.openxmlformats.org/officeDocument/2006/relationships/hyperlink" Id="rId39" Target="https://stats.oecd.org/index.aspx?queryid=84864#" TargetMode="External" /><Relationship Type="http://schemas.openxmlformats.org/officeDocument/2006/relationships/hyperlink" Id="rId112" Target="https://tntcat.iiasa.ac.at/geadb/dsd?Action=htmlpage&amp;page=about" TargetMode="External" /><Relationship Type="http://schemas.openxmlformats.org/officeDocument/2006/relationships/hyperlink" Id="rId58" Target="https://www.R-project.org/"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2021-02-19T13:55:22Z</dcterms:created>
  <dcterms:modified xsi:type="dcterms:W3CDTF">2021-02-19T13:55:22Z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