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9.pdf" ContentType="application/pdf"/>
  <Override PartName="/word/media/rId30.pdf" ContentType="application/pdf"/>
  <Override PartName="/word/media/rId32.pdf" ContentType="application/pdf"/>
  <Override PartName="/word/media/rId35.pdf" ContentType="application/pdf"/>
  <Override PartName="/word/media/rId39.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CO2eq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tCO2eq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for the year 2015,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FirstParagraph"/>
      </w:pPr>
      <w:r>
        <w:t xml:space="preserve">In this paper, we:</w:t>
      </w:r>
    </w:p>
    <w:p>
      <w:pPr>
        <w:numPr>
          <w:numId w:val="1001"/>
          <w:ilvl w:val="0"/>
        </w:numPr>
      </w:pPr>
      <w:r>
        <w:t xml:space="preserve">Decompose</w:t>
      </w:r>
      <w:r>
        <w:t xml:space="preserve"> </w:t>
      </w:r>
      <w:r>
        <w:rPr>
          <w:i/>
        </w:rPr>
        <w:t xml:space="preserve">national</w:t>
      </w:r>
      <w:r>
        <w:t xml:space="preserve"> </w:t>
      </w:r>
      <w:r>
        <w:t xml:space="preserve">household final demand expenditure in the EE-MRIO model EXIOBASE (version3, industry-by-industry)</w:t>
      </w:r>
      <w:r>
        <w:t xml:space="preserve"> </w:t>
      </w:r>
      <w:r>
        <w:t xml:space="preserve">(8)</w:t>
      </w:r>
      <w:r>
        <w:t xml:space="preserve">, by national</w:t>
      </w:r>
      <w:r>
        <w:t xml:space="preserve"> </w:t>
      </w:r>
      <w:r>
        <w:rPr>
          <w:i/>
        </w:rPr>
        <w:t xml:space="preserve">income</w:t>
      </w:r>
      <w:r>
        <w:t xml:space="preserve"> </w:t>
      </w:r>
      <w:r>
        <w:t xml:space="preserve">quintile, using European household budget survey (HBS) macro-data from EUROSTAT</w:t>
      </w:r>
      <w:r>
        <w:t xml:space="preserve"> </w:t>
      </w:r>
      <w:r>
        <w:t xml:space="preserve">(9)</w:t>
      </w:r>
      <w:r>
        <w:t xml:space="preserve">.</w:t>
      </w:r>
    </w:p>
    <w:p>
      <w:pPr>
        <w:numPr>
          <w:numId w:val="1001"/>
          <w:ilvl w:val="0"/>
        </w:numPr>
      </w:pPr>
      <w:r>
        <w:t xml:space="preserve">Use this income-decomposed</w:t>
      </w:r>
      <w:r>
        <w:t xml:space="preserve"> </w:t>
      </w:r>
      <w:r>
        <w:rPr>
          <w:i/>
        </w:rPr>
        <w:t xml:space="preserve">national</w:t>
      </w:r>
      <w:r>
        <w:t xml:space="preserve"> </w:t>
      </w:r>
      <w:r>
        <w:t xml:space="preserve">household final demand expenditure to calculate</w:t>
      </w:r>
      <w:r>
        <w:t xml:space="preserve"> </w:t>
      </w:r>
      <w:r>
        <w:rPr>
          <w:i/>
        </w:rPr>
        <w:t xml:space="preserve">national</w:t>
      </w:r>
      <w:r>
        <w:t xml:space="preserve"> </w:t>
      </w:r>
      <w:r>
        <w:t xml:space="preserve">household energy and carbon footprints also decomposed by national</w:t>
      </w:r>
      <w:r>
        <w:t xml:space="preserve"> </w:t>
      </w:r>
      <w:r>
        <w:rPr>
          <w:i/>
        </w:rPr>
        <w:t xml:space="preserve">income</w:t>
      </w:r>
      <w:r>
        <w:t xml:space="preserve"> </w:t>
      </w:r>
      <w:r>
        <w:t xml:space="preserve">quintile.</w:t>
      </w:r>
    </w:p>
    <w:p>
      <w:pPr>
        <w:numPr>
          <w:numId w:val="1001"/>
          <w:ilvl w:val="0"/>
        </w:numPr>
      </w:pPr>
      <w:r>
        <w:t xml:space="preserve">Finally, we take the mean expenditure of each national income quintile, and distribute the national income quintiles from lowest to highest mean expenditure, constructing European expenditure deciles. Our analysis in this paper focuses on these results: household final demand expenditure, the household energy footprint, and the household carbon footprint decomposed by European expenditure decile.</w:t>
      </w:r>
    </w:p>
    <w:p>
      <w:pPr>
        <w:pStyle w:val="Heading2"/>
      </w:pPr>
      <w:bookmarkStart w:id="22" w:name="X189beb9ea9ff9c85f31fdd3408ddf722ad03115"/>
      <w:r>
        <w:t xml:space="preserve">Income-stratified national household final demand expenditure</w:t>
      </w:r>
      <w:bookmarkEnd w:id="22"/>
    </w:p>
    <w:p>
      <w:pPr>
        <w:pStyle w:val="FirstParagraph"/>
      </w:pPr>
      <w:r>
        <w:t xml:space="preserve">The first step was decomposing</w:t>
      </w:r>
      <w:r>
        <w:t xml:space="preserve"> </w:t>
      </w:r>
      <w:r>
        <w:rPr>
          <w:i/>
        </w:rPr>
        <w:t xml:space="preserve">national</w:t>
      </w:r>
      <w:r>
        <w:t xml:space="preserve"> </w:t>
      </w:r>
      <w:r>
        <w:t xml:space="preserve">household final demand expenditure in EXIOBASE</w:t>
      </w:r>
      <w:r>
        <w:t xml:space="preserve"> </w:t>
      </w:r>
      <w:r>
        <w:t xml:space="preserve">(8)</w:t>
      </w:r>
      <w:r>
        <w:t xml:space="preserve"> </w:t>
      </w:r>
      <w:r>
        <w:t xml:space="preserve">by national</w:t>
      </w:r>
      <w:r>
        <w:t xml:space="preserve"> </w:t>
      </w:r>
      <w:r>
        <w:rPr>
          <w:i/>
        </w:rPr>
        <w:t xml:space="preserve">income</w:t>
      </w:r>
      <w:r>
        <w:t xml:space="preserve"> </w:t>
      </w:r>
      <w:r>
        <w:t xml:space="preserve">quintile, using the European household budget survey (HBS) from EUROSTAT</w:t>
      </w:r>
      <w:r>
        <w:t xml:space="preserve"> </w:t>
      </w:r>
      <w:r>
        <w:t xml:space="preserve">(9)</w:t>
      </w:r>
      <w:r>
        <w:t xml:space="preserve">. The EUROSTAT HBS publishes national data on mean consumption expenditure by income quintile (in purchasing power standards (PPS))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w:t>
      </w:r>
    </w:p>
    <w:p>
      <w:pPr>
        <w:pStyle w:val="Heading2"/>
      </w:pPr>
      <w:bookmarkStart w:id="23" w:name="X112fceb77a996a6563636074c7a28f9a90ae461"/>
      <w:r>
        <w:t xml:space="preserve">Income-stratified national household environmental footprints</w:t>
      </w:r>
      <w:bookmarkEnd w:id="23"/>
    </w:p>
    <w:p>
      <w:pPr>
        <w:pStyle w:val="FirstParagraph"/>
      </w:pPr>
      <w:r>
        <w:t xml:space="preserve">We then multiplied this income-stratified EXIOBASE national household final demand expenditure by</w:t>
      </w:r>
      <w:r>
        <w:t xml:space="preserve"> </w:t>
      </w:r>
      <w:r>
        <w:t xml:space="preserve">‘</w:t>
      </w:r>
      <w:r>
        <w:t xml:space="preserve">direct and indirect supply chain</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We used EXIOBASE as the EE-MRIO for this study because of its European focus, with nearly all countries in the EUROSTAT HBS also found as stand-alone countries in EXIOBASE (see SI - table 5), its detailed satellite extension data, and its year coverage (specifically version3, industry-by-industry).</w:t>
      </w:r>
    </w:p>
    <w:p>
      <w:pPr>
        <w:pStyle w:val="Heading3"/>
      </w:pPr>
      <w:bookmarkStart w:id="24" w:name="environmental-extensions-used"/>
      <w:r>
        <w:t xml:space="preserve">Environmental extensions used</w:t>
      </w:r>
      <w:bookmarkEnd w:id="24"/>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5" w:name="european-expenditure-deciles"/>
      <w:r>
        <w:t xml:space="preserve">European expenditure deciles</w:t>
      </w:r>
      <w:bookmarkEnd w:id="25"/>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HBS data from 2005 to 2015 are included, which excludes Italy and Luxembourg, but includes the UK, Norway and Turkey.</w:t>
      </w:r>
    </w:p>
    <w:p>
      <w:pPr>
        <w:pStyle w:val="Heading2"/>
      </w:pPr>
      <w:bookmarkStart w:id="26" w:name="units-of-analysis"/>
      <w:r>
        <w:t xml:space="preserve">Units of analysis</w:t>
      </w:r>
      <w:bookmarkEnd w:id="26"/>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(10)</w:t>
      </w:r>
      <w:r>
        <w:t xml:space="preserve">.</w:t>
      </w:r>
    </w:p>
    <w:p>
      <w:pPr>
        <w:pStyle w:val="BodyText"/>
      </w:pPr>
      <w:r>
        <w:t xml:space="preserve">When we situate our results within decarbonisation scenarios, we adjust the total per capita results from the scenarios, to household per adult equivalent in order to better compare with our environmental footprint estimates. Data on decarbonization scenarios, especially final energy use, is from the IIASA scenario database</w:t>
      </w:r>
      <w:r>
        <w:t xml:space="preserve"> </w:t>
      </w:r>
      <w:r>
        <w:t xml:space="preserve">(11)</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BodyText"/>
      </w:pPr>
      <w:r>
        <w:t xml:space="preserve">For example, we adjust a total final energy use of 53 GJ per capita from the LED scenario (Grubler et al. (2018)</w:t>
      </w:r>
      <w:r>
        <w:t xml:space="preserve"> </w:t>
      </w:r>
      <w:r>
        <w:t xml:space="preserve">(2)</w:t>
      </w:r>
      <w:r>
        <w:t xml:space="preserve">),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equivalent in Europe ((53 total GJ/capita * 0.62 household share of total footprint)/0.62 adult equivalent share of population = 53 household GJ/adult equivalent).</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 and the whole analysis was performed in RStudio</w:t>
      </w:r>
      <w:r>
        <w:t xml:space="preserve"> </w:t>
      </w:r>
      <w:r>
        <w:t xml:space="preserve">(13)</w:t>
      </w:r>
      <w:r>
        <w:t xml:space="preserve">.</w:t>
      </w:r>
    </w:p>
    <w:p>
      <w:pPr>
        <w:pStyle w:val="Heading1"/>
      </w:pPr>
      <w:bookmarkStart w:id="27" w:name="results"/>
      <w:r>
        <w:t xml:space="preserve">Results</w:t>
      </w:r>
      <w:bookmarkEnd w:id="27"/>
    </w:p>
    <w:p>
      <w:pPr>
        <w:pStyle w:val="Heading2"/>
      </w:pPr>
      <w:bookmarkStart w:id="28" w:name="Xf747c58a9d0a64ae10cceca5fbb3b077f7c0aec"/>
      <w:r>
        <w:t xml:space="preserve">Environmental footprints are less unequal than expenditure levels</w:t>
      </w:r>
      <w:bookmarkEnd w:id="28"/>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9"/>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30"/>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10.6% and 5.4% of their household expenditure on shelter, respectively (this refers to environmental-footprint-relevant shelter expenditure. Our aggregated</w:t>
      </w:r>
      <w:r>
        <w:t xml:space="preserve"> </w:t>
      </w:r>
      <w:r>
        <w:t xml:space="preserve">‘</w:t>
      </w:r>
      <w:r>
        <w:t xml:space="preserve">shelter</w:t>
      </w:r>
      <w:r>
        <w:t xml:space="preserve">’</w:t>
      </w:r>
      <w:r>
        <w:t xml:space="preserve"> </w:t>
      </w:r>
      <w:r>
        <w:t xml:space="preserve">sector does not include rent. We have included the EXIOBASE production sector</w:t>
      </w:r>
      <w:r>
        <w:t xml:space="preserve"> </w:t>
      </w:r>
      <w:r>
        <w:t xml:space="preserve">‘</w:t>
      </w:r>
      <w:r>
        <w:t xml:space="preserve">real estate services</w:t>
      </w:r>
      <w:r>
        <w:t xml:space="preserve">’</w:t>
      </w:r>
      <w:r>
        <w:t xml:space="preserve">, which includes rent and other activities, 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 see SI Table 4).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(7.5 kgCO2eq/€) than in the top decile (2 kgCO2eq/€). Households in the top decile spend about 55.2% in the service sector, which has the lowest carbon intensity, compared to 38.4%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(15)</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(16)</w:t>
      </w:r>
      <w:r>
        <w:t xml:space="preserve">, and had a higher average intensity of carbon per MJ of heat delivered than both Europe and the world</w:t>
      </w:r>
      <w:r>
        <w:t xml:space="preserve"> </w:t>
      </w:r>
      <w:r>
        <w:t xml:space="preserve">(17)</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1" w:name="Xa5ec6b06a9f98c59372e9d5ceb51319bf0d5548"/>
      <w:r>
        <w:t xml:space="preserve">Inequality across final consumption sectors</w:t>
      </w:r>
      <w:bookmarkEnd w:id="31"/>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(18)</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4.9 for energy and 4.4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2"/>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(19)</w:t>
      </w:r>
      <w:r>
        <w:t xml:space="preserve">.</w:t>
      </w:r>
    </w:p>
    <w:p>
      <w:pPr>
        <w:pStyle w:val="Heading1"/>
      </w:pPr>
      <w:bookmarkStart w:id="33" w:name="counterfactual-a-1.5c-compatible-europe"/>
      <w:r>
        <w:t xml:space="preserve">Counterfactual: a 1.5°C compatible Europe</w:t>
      </w:r>
      <w:bookmarkEnd w:id="33"/>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(20)</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4" w:name="X2dd794aa03f2c63ef4370bbc84e8c987b3f3651"/>
      <w:r>
        <w:t xml:space="preserve">Current empirical best technology per sector</w:t>
      </w:r>
      <w:bookmarkEnd w:id="34"/>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5"/>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(21)</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(19)</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6" w:name="inequality-in-a-1.5c-compatible-europe"/>
      <w:r>
        <w:t xml:space="preserve">Inequality in a 1.5°C compatible Europe</w:t>
      </w:r>
      <w:bookmarkEnd w:id="36"/>
    </w:p>
    <w:p>
      <w:pPr>
        <w:pStyle w:val="Heading2"/>
      </w:pPr>
      <w:bookmarkStart w:id="37" w:name="play-around-begin"/>
      <w:r>
        <w:t xml:space="preserve">play around (begin)</w:t>
      </w:r>
      <w:bookmarkEnd w:id="37"/>
    </w:p>
    <w:p>
      <w:pPr>
        <w:pStyle w:val="Heading2"/>
      </w:pPr>
      <w:bookmarkStart w:id="38" w:name="play-around-end"/>
      <w:r>
        <w:t xml:space="preserve">play around (end)</w:t>
      </w:r>
      <w:bookmarkEnd w:id="38"/>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9"/>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40" w:name="conclusions"/>
      <w:r>
        <w:t xml:space="preserve">Conclusions</w:t>
      </w:r>
      <w:bookmarkEnd w:id="40"/>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(23)</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(33)</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(15)</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(21)</w:t>
      </w:r>
      <w:r>
        <w:t xml:space="preserve">. Efforts to break consumer lock-in to these high intensities must be occurring alongside policies that seek to reduce aggregate consumption and intensities higher up in the economic distribution</w:t>
      </w:r>
      <w:r>
        <w:t xml:space="preserve"> </w:t>
      </w:r>
      <w:r>
        <w:t xml:space="preserve">(36)</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(37)</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(40)</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41" w:name="associated-content"/>
      <w:r>
        <w:t xml:space="preserve">Associated Content</w:t>
      </w:r>
      <w:bookmarkEnd w:id="41"/>
    </w:p>
    <w:p>
      <w:pPr>
        <w:pStyle w:val="Heading2"/>
      </w:pPr>
      <w:bookmarkStart w:id="42" w:name="supplementary-information"/>
      <w:r>
        <w:t xml:space="preserve">Supplementary Information</w:t>
      </w:r>
      <w:bookmarkEnd w:id="42"/>
    </w:p>
    <w:p>
      <w:pPr>
        <w:pStyle w:val="FirstParagraph"/>
      </w:pPr>
      <w:r>
        <w:t xml:space="preserve">Supplementary materials and methods, including extended discussion on limitations, and supplementary results.</w:t>
      </w:r>
    </w:p>
    <w:p>
      <w:pPr>
        <w:pStyle w:val="Heading1"/>
      </w:pPr>
      <w:bookmarkStart w:id="43" w:name="author-information"/>
      <w:r>
        <w:t xml:space="preserve">Author Information</w:t>
      </w:r>
      <w:bookmarkEnd w:id="43"/>
    </w:p>
    <w:p>
      <w:pPr>
        <w:pStyle w:val="Heading2"/>
      </w:pPr>
      <w:bookmarkStart w:id="44" w:name="corresponding-author"/>
      <w:r>
        <w:t xml:space="preserve">Corresponding Author</w:t>
      </w:r>
      <w:bookmarkEnd w:id="44"/>
    </w:p>
    <w:p>
      <w:pPr>
        <w:pStyle w:val="FirstParagraph"/>
      </w:pPr>
      <w:r>
        <w:t xml:space="preserve">*email:</w:t>
      </w:r>
    </w:p>
    <w:p>
      <w:pPr>
        <w:pStyle w:val="Heading2"/>
      </w:pPr>
      <w:bookmarkStart w:id="45" w:name="author-contributions"/>
      <w:r>
        <w:t xml:space="preserve">Author Contributions</w:t>
      </w:r>
      <w:bookmarkEnd w:id="45"/>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6" w:name="notes"/>
      <w:r>
        <w:t xml:space="preserve">Notes</w:t>
      </w:r>
      <w:bookmarkEnd w:id="46"/>
    </w:p>
    <w:p>
      <w:pPr>
        <w:pStyle w:val="FirstParagraph"/>
      </w:pPr>
      <w:r>
        <w:t xml:space="preserve">The authors declare no competing financial interest.</w:t>
      </w:r>
    </w:p>
    <w:p>
      <w:pPr>
        <w:pStyle w:val="Heading1"/>
      </w:pPr>
      <w:bookmarkStart w:id="47" w:name="acknowledgements"/>
      <w:r>
        <w:t xml:space="preserve">Acknowledgements</w:t>
      </w:r>
      <w:bookmarkEnd w:id="47"/>
    </w:p>
    <w:p>
      <w:r>
        <w:br w:type="page"/>
      </w:r>
    </w:p>
    <w:p>
      <w:pPr>
        <w:pStyle w:val="Heading1"/>
      </w:pPr>
      <w:bookmarkStart w:id="48" w:name="references"/>
      <w:r>
        <w:t xml:space="preserve">References</w:t>
      </w:r>
      <w:bookmarkEnd w:id="48"/>
    </w:p>
    <w:bookmarkStart w:id="127" w:name="refs"/>
    <w:bookmarkStart w:id="50"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9">
        <w:r>
          <w:rPr>
            <w:rStyle w:val="Hyperlink"/>
          </w:rPr>
          <w:t xml:space="preserve">http://www.nature.com/articles/s41558-018-0121-1</w:t>
        </w:r>
      </w:hyperlink>
    </w:p>
    <w:bookmarkEnd w:id="50"/>
    <w:bookmarkStart w:id="52"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51">
        <w:r>
          <w:rPr>
            <w:rStyle w:val="Hyperlink"/>
          </w:rPr>
          <w:t xml:space="preserve">https://rdcu.be/SOJx</w:t>
        </w:r>
      </w:hyperlink>
    </w:p>
    <w:bookmarkEnd w:id="52"/>
    <w:bookmarkStart w:id="54"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3">
        <w:r>
          <w:rPr>
            <w:rStyle w:val="Hyperlink"/>
          </w:rPr>
          <w:t xml:space="preserve">http://www.sciencedirect.com/science/article/pii/S0959378020307512</w:t>
        </w:r>
      </w:hyperlink>
    </w:p>
    <w:bookmarkEnd w:id="54"/>
    <w:bookmarkStart w:id="56"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5">
        <w:r>
          <w:rPr>
            <w:rStyle w:val="Hyperlink"/>
          </w:rPr>
          <w:t xml:space="preserve">https://www.nature.com/articles/s41560-020-0579-8</w:t>
        </w:r>
      </w:hyperlink>
    </w:p>
    <w:bookmarkEnd w:id="56"/>
    <w:bookmarkStart w:id="58"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7">
        <w:r>
          <w:rPr>
            <w:rStyle w:val="Hyperlink"/>
          </w:rPr>
          <w:t xml:space="preserve">https://onlinelibrary.wiley.com/doi/abs/10.1111/jiec.12371</w:t>
        </w:r>
      </w:hyperlink>
    </w:p>
    <w:bookmarkEnd w:id="58"/>
    <w:bookmarkStart w:id="60"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9">
        <w:r>
          <w:rPr>
            <w:rStyle w:val="Hyperlink"/>
          </w:rPr>
          <w:t xml:space="preserve">https://www.cambridge.org/core/journals/global-sustainability/article/unequal-distribution-of-household-carbon-footprints-in-europe-and-its-link-to-sustainability/F1ED4F705AF1C6C1FCAD477398353DC2</w:t>
        </w:r>
      </w:hyperlink>
    </w:p>
    <w:bookmarkEnd w:id="60"/>
    <w:bookmarkStart w:id="62"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61">
        <w:r>
          <w:rPr>
            <w:rStyle w:val="Hyperlink"/>
          </w:rPr>
          <w:t xml:space="preserve">https://www.iges.or.jp/en/pub/15-degrees-lifestyles-2019/en</w:t>
        </w:r>
      </w:hyperlink>
    </w:p>
    <w:bookmarkEnd w:id="62"/>
    <w:bookmarkStart w:id="64"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3">
        <w:r>
          <w:rPr>
            <w:rStyle w:val="Hyperlink"/>
          </w:rPr>
          <w:t xml:space="preserve">https://onlinelibrary.wiley.com/doi/abs/10.1111/jiec.12715</w:t>
        </w:r>
      </w:hyperlink>
    </w:p>
    <w:bookmarkEnd w:id="64"/>
    <w:bookmarkStart w:id="66" w:name="ref-eurostat_database_nodate"/>
    <w:p>
      <w:pPr>
        <w:pStyle w:val="Bibliography"/>
      </w:pPr>
      <w:r>
        <w:t xml:space="preserve">9. Eurostat. Database - Household budget surveys - Eurostat [Internet]. [cited 2021 Jan 20]. Available from:</w:t>
      </w:r>
      <w:r>
        <w:t xml:space="preserve"> </w:t>
      </w:r>
      <w:hyperlink r:id="rId65">
        <w:r>
          <w:rPr>
            <w:rStyle w:val="Hyperlink"/>
          </w:rPr>
          <w:t xml:space="preserve">https://ec.europa.eu/eurostat/web/household-budget-surveys/database</w:t>
        </w:r>
      </w:hyperlink>
    </w:p>
    <w:bookmarkEnd w:id="66"/>
    <w:bookmarkStart w:id="68"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7">
        <w:r>
          <w:rPr>
            <w:rStyle w:val="Hyperlink"/>
          </w:rPr>
          <w:t xml:space="preserve">https://ec.europa.eu/eurostat/documents/54431/1966394/HBS2015_Transmission_DOC_V3.2018_05_22.pdf</w:t>
        </w:r>
      </w:hyperlink>
    </w:p>
    <w:bookmarkEnd w:id="68"/>
    <w:bookmarkStart w:id="70"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9">
        <w:r>
          <w:rPr>
            <w:rStyle w:val="Hyperlink"/>
          </w:rPr>
          <w:t xml:space="preserve">http://www.sciencedirect.com/science/article/pii/S0959378016300681</w:t>
        </w:r>
      </w:hyperlink>
    </w:p>
    <w:bookmarkEnd w:id="70"/>
    <w:bookmarkStart w:id="72" w:name="ref-gea_gea_nodate"/>
    <w:p>
      <w:pPr>
        <w:pStyle w:val="Bibliography"/>
      </w:pPr>
      <w:r>
        <w:t xml:space="preserve">12. GEA. GEA Scenario database (public) [Internet]. [cited 2021 Jan 20]. Available from:</w:t>
      </w:r>
      <w:r>
        <w:t xml:space="preserve"> </w:t>
      </w:r>
      <w:hyperlink r:id="rId71">
        <w:r>
          <w:rPr>
            <w:rStyle w:val="Hyperlink"/>
          </w:rPr>
          <w:t xml:space="preserve">https://www.iiasa.ac.at/web-apps/ene/geadb/dsd?Action=htmlpage&amp;page=about</w:t>
        </w:r>
      </w:hyperlink>
    </w:p>
    <w:bookmarkEnd w:id="72"/>
    <w:bookmarkStart w:id="74" w:name="ref-r_core_team_r:_2020"/>
    <w:p>
      <w:pPr>
        <w:pStyle w:val="Bibliography"/>
      </w:pPr>
      <w:r>
        <w:t xml:space="preserve">13. R Core Team. R: A Language and Environment for Statistical Computing [Internet]. Vienna, Austria: R Foundation for Statistical Computing; 2020. Available from:</w:t>
      </w:r>
      <w:r>
        <w:t xml:space="preserve"> </w:t>
      </w:r>
      <w:hyperlink r:id="rId73">
        <w:r>
          <w:rPr>
            <w:rStyle w:val="Hyperlink"/>
          </w:rPr>
          <w:t xml:space="preserve">https://www.R-project.org/</w:t>
        </w:r>
      </w:hyperlink>
    </w:p>
    <w:bookmarkEnd w:id="74"/>
    <w:bookmarkStart w:id="76" w:name="ref-wickham_welcome_2019"/>
    <w:p>
      <w:pPr>
        <w:pStyle w:val="Bibliography"/>
      </w:pPr>
      <w:r>
        <w:t xml:space="preserve">14. Wickham H, Averick M, Bryan J, Chang W, McGowan LD, François R, et al. Welcome to the Tidyverse. Journal of Open Source Software [Internet]. 2019 Nov [cited 2021 Feb 1];4(43):1686. Available from:</w:t>
      </w:r>
      <w:r>
        <w:t xml:space="preserve"> </w:t>
      </w:r>
      <w:hyperlink r:id="rId75">
        <w:r>
          <w:rPr>
            <w:rStyle w:val="Hyperlink"/>
          </w:rPr>
          <w:t xml:space="preserve">https://joss.theoj.org/papers/10.21105/joss.01686</w:t>
        </w:r>
      </w:hyperlink>
    </w:p>
    <w:bookmarkEnd w:id="76"/>
    <w:bookmarkStart w:id="78" w:name="ref-sommer_carbon_2017"/>
    <w:p>
      <w:pPr>
        <w:pStyle w:val="Bibliography"/>
      </w:pPr>
      <w:r>
        <w:t xml:space="preserve">15. Sommer M, Kratena K. The Carbon Footprint of European Households and Income Distribution. Ecological Economics [Internet]. 2017 [cited 2020 Aug 12];136(C):62–72. Available from:</w:t>
      </w:r>
      <w:r>
        <w:t xml:space="preserve"> </w:t>
      </w:r>
      <w:hyperlink r:id="rId77">
        <w:r>
          <w:rPr>
            <w:rStyle w:val="Hyperlink"/>
          </w:rPr>
          <w:t xml:space="preserve">https://econpapers.repec.org/article/eeeecolec/v_3a136_3ay_3a2017_3ai_3ac_3ap_3a62-72.htm</w:t>
        </w:r>
      </w:hyperlink>
    </w:p>
    <w:bookmarkEnd w:id="78"/>
    <w:bookmarkStart w:id="80" w:name="ref-eurostat_eurostat_nodate-2"/>
    <w:p>
      <w:pPr>
        <w:pStyle w:val="Bibliography"/>
      </w:pPr>
      <w:r>
        <w:t xml:space="preserve">16. Eurostat. Eurostat - Data Explorer - Production of electricity and derived heat by type of fuel [Internet]. [cited 2021 Jan 22]. Available from:</w:t>
      </w:r>
      <w:r>
        <w:t xml:space="preserve"> </w:t>
      </w:r>
      <w:hyperlink r:id="rId79">
        <w:r>
          <w:rPr>
            <w:rStyle w:val="Hyperlink"/>
          </w:rPr>
          <w:t xml:space="preserve">https://appsso.eurostat.ec.europa.eu/nui/submitViewTableAction.do</w:t>
        </w:r>
      </w:hyperlink>
    </w:p>
    <w:bookmarkEnd w:id="80"/>
    <w:bookmarkStart w:id="82" w:name="ref-werner_international_2017"/>
    <w:p>
      <w:pPr>
        <w:pStyle w:val="Bibliography"/>
      </w:pPr>
      <w:r>
        <w:t xml:space="preserve">17. Werner S. International review of district heating and cooling. Energy [Internet]. 2017 Oct [cited 2020 Aug 11];137:617–31. Available from:</w:t>
      </w:r>
      <w:r>
        <w:t xml:space="preserve"> </w:t>
      </w:r>
      <w:hyperlink r:id="rId81">
        <w:r>
          <w:rPr>
            <w:rStyle w:val="Hyperlink"/>
          </w:rPr>
          <w:t xml:space="preserve">http://www.sciencedirect.com/science/article/pii/S036054421730614X</w:t>
        </w:r>
      </w:hyperlink>
    </w:p>
    <w:bookmarkEnd w:id="82"/>
    <w:bookmarkStart w:id="84" w:name="ref-ivanova_quantifying_2020"/>
    <w:p>
      <w:pPr>
        <w:pStyle w:val="Bibliography"/>
      </w:pPr>
      <w:r>
        <w:t xml:space="preserve">18. Ivanova D, Barrett J, Wiedenhofer D, Macura B, Callaghan MW, Creutzig F. Quantifying the potential for climate change mitigation of consumption options. Environmental Research Letters [Internet]. 2020 [cited 2020 Jun 30]; Available from:</w:t>
      </w:r>
      <w:r>
        <w:t xml:space="preserve"> </w:t>
      </w:r>
      <w:hyperlink r:id="rId83">
        <w:r>
          <w:rPr>
            <w:rStyle w:val="Hyperlink"/>
          </w:rPr>
          <w:t xml:space="preserve">http://iopscience.iop.org/10.1088/1748-9326/ab8589</w:t>
        </w:r>
      </w:hyperlink>
    </w:p>
    <w:bookmarkEnd w:id="84"/>
    <w:bookmarkStart w:id="86" w:name="X4d7f8dadc9cc10bd19aa1d121dc1c6e986790bb"/>
    <w:p>
      <w:pPr>
        <w:pStyle w:val="Bibliography"/>
      </w:pPr>
      <w:r>
        <w:t xml:space="preserve">19. European Commission. Communication on The European Green Deal [Internet]. European Commission - European Commission. 2019 [cited 2020 Jul 6]. Available from:</w:t>
      </w:r>
      <w:r>
        <w:t xml:space="preserve"> </w:t>
      </w:r>
      <w:hyperlink r:id="rId85">
        <w:r>
          <w:rPr>
            <w:rStyle w:val="Hyperlink"/>
          </w:rPr>
          <w:t xml:space="preserve">https://ec.europa.eu/info/publications/communication-european-green-deal_en</w:t>
        </w:r>
      </w:hyperlink>
    </w:p>
    <w:bookmarkEnd w:id="86"/>
    <w:bookmarkStart w:id="88" w:name="ref-eurostat_living_nodate"/>
    <w:p>
      <w:pPr>
        <w:pStyle w:val="Bibliography"/>
      </w:pPr>
      <w:r>
        <w:t xml:space="preserve">20. Eurostat. Living conditions in Europe - material deprivation and economic strain - Statistics Explained [Internet]. [cited 2021 Jan 23]. Available from:</w:t>
      </w:r>
      <w:r>
        <w:t xml:space="preserve"> </w:t>
      </w:r>
      <w:hyperlink r:id="rId87">
        <w:r>
          <w:rPr>
            <w:rStyle w:val="Hyperlink"/>
          </w:rPr>
          <w:t xml:space="preserve">https://ec.europa.eu/eurostat/statistics-explained/index.php?title=Living_conditions_in_Europe_-_material_deprivation_and_economic_strain</w:t>
        </w:r>
      </w:hyperlink>
    </w:p>
    <w:bookmarkEnd w:id="88"/>
    <w:bookmarkStart w:id="90" w:name="ref-bianco_understanding_2019"/>
    <w:p>
      <w:pPr>
        <w:pStyle w:val="Bibliography"/>
      </w:pPr>
      <w:r>
        <w:t xml:space="preserve">21. Bianco V, Cascetta F, Marino A, Nardini S. Understanding energy consumption and carbon emissions in Europe: A focus on inequality issues. Energy [Internet]. 2019 Mar [cited 2020 Sep 28];170:120–30. Available from:</w:t>
      </w:r>
      <w:r>
        <w:t xml:space="preserve"> </w:t>
      </w:r>
      <w:hyperlink r:id="rId89">
        <w:r>
          <w:rPr>
            <w:rStyle w:val="Hyperlink"/>
          </w:rPr>
          <w:t xml:space="preserve">http://www.sciencedirect.com/science/article/pii/S0360544218324927</w:t>
        </w:r>
      </w:hyperlink>
    </w:p>
    <w:bookmarkEnd w:id="90"/>
    <w:bookmarkStart w:id="92" w:name="ref-european_commission_european_2020"/>
    <w:p>
      <w:pPr>
        <w:pStyle w:val="Bibliography"/>
      </w:pPr>
      <w:r>
        <w:t xml:space="preserve">22. European Commission. The European Green Deal Investment Plan and JTM explained [Internet]. European Commission - European Commission. 2020 [cited 2020 Aug 7]. Available from:</w:t>
      </w:r>
      <w:r>
        <w:t xml:space="preserve"> </w:t>
      </w:r>
      <w:hyperlink r:id="rId91">
        <w:r>
          <w:rPr>
            <w:rStyle w:val="Hyperlink"/>
          </w:rPr>
          <w:t xml:space="preserve">https://ec.europa.eu/commission/presscorner/detail/en/qanda_20_24</w:t>
        </w:r>
      </w:hyperlink>
    </w:p>
    <w:bookmarkEnd w:id="92"/>
    <w:bookmarkStart w:id="93" w:name="ref-piketty_carbon_2015"/>
    <w:p>
      <w:pPr>
        <w:pStyle w:val="Bibliography"/>
      </w:pPr>
      <w:r>
        <w:t xml:space="preserve">23. Piketty T, Chancel L. Carbon and inequality: From Kyoto to Paris. Paris Sch Econ (www parisschoolofeconomics eu/en/news/carbon-and-inequality-from-kyoto-to-parischancel-piketty/). 2015;</w:t>
      </w:r>
      <w:r>
        <w:t xml:space="preserve"> </w:t>
      </w:r>
    </w:p>
    <w:bookmarkEnd w:id="93"/>
    <w:bookmarkStart w:id="95" w:name="ref-kartha_carbon_2020"/>
    <w:p>
      <w:pPr>
        <w:pStyle w:val="Bibliography"/>
      </w:pPr>
      <w:r>
        <w:t xml:space="preserve">24. Kartha S, Kemp-Benedict E, Ghosh E, Nazareth A. The Carbon Inequality Era. 2020 Sep [cited 2020 Sep 28]; Available from:</w:t>
      </w:r>
      <w:r>
        <w:t xml:space="preserve"> </w:t>
      </w:r>
      <w:hyperlink r:id="rId94">
        <w:r>
          <w:rPr>
            <w:rStyle w:val="Hyperlink"/>
          </w:rPr>
          <w:t xml:space="preserve">https://www.sei.org/publications/the-carbon-inequality-era/</w:t>
        </w:r>
      </w:hyperlink>
    </w:p>
    <w:bookmarkEnd w:id="95"/>
    <w:bookmarkStart w:id="96" w:name="ref-gore_extreme_2015"/>
    <w:p>
      <w:pPr>
        <w:pStyle w:val="Bibliography"/>
      </w:pPr>
      <w:r>
        <w:t xml:space="preserve">25. Gore T. Extreme Carbon Inequality: Why the Paris climate deal must put the poorest, lowest emitting and most vulnerable people first. 2015;</w:t>
      </w:r>
      <w:r>
        <w:t xml:space="preserve"> </w:t>
      </w:r>
    </w:p>
    <w:bookmarkEnd w:id="96"/>
    <w:bookmarkStart w:id="98" w:name="ref-hubacek_global_2017"/>
    <w:p>
      <w:pPr>
        <w:pStyle w:val="Bibliography"/>
      </w:pPr>
      <w:r>
        <w:t xml:space="preserve">26. Hubacek K, Baiocchi G, Feng K, Muñoz Castillo R, Sun L, Xue J. Global carbon inequality. Energy, Ecology and Environment [Internet]. 2017 Dec [cited 2019 Jul 16];2(6):361–9. Available from:</w:t>
      </w:r>
      <w:r>
        <w:t xml:space="preserve"> </w:t>
      </w:r>
      <w:hyperlink r:id="rId97">
        <w:r>
          <w:rPr>
            <w:rStyle w:val="Hyperlink"/>
          </w:rPr>
          <w:t xml:space="preserve">https://doi.org/10.1007/s40974-017-0072-9</w:t>
        </w:r>
      </w:hyperlink>
    </w:p>
    <w:bookmarkEnd w:id="98"/>
    <w:bookmarkStart w:id="100" w:name="ref-gore_t._confronting_2020"/>
    <w:p>
      <w:pPr>
        <w:pStyle w:val="Bibliography"/>
      </w:pPr>
      <w:r>
        <w:t xml:space="preserve">27. Gore, T., Alestig, M. Confronting carbon inequality in the European Union [Internet]. 2020 [cited 2021 Jan 21]. Available from:</w:t>
      </w:r>
      <w:r>
        <w:t xml:space="preserve"> </w:t>
      </w:r>
      <w:hyperlink r:id="rId99">
        <w:r>
          <w:rPr>
            <w:rStyle w:val="Hyperlink"/>
          </w:rPr>
          <w:t xml:space="preserve">https://www.oxfam.org/en/research/confronting-carbon-inequality-european-union</w:t>
        </w:r>
      </w:hyperlink>
    </w:p>
    <w:bookmarkEnd w:id="100"/>
    <w:bookmarkStart w:id="102" w:name="ref-wiedenhofer_unequal_2017"/>
    <w:p>
      <w:pPr>
        <w:pStyle w:val="Bibliography"/>
      </w:pPr>
      <w:r>
        <w:t xml:space="preserve">28. Wiedenhofer D, Guan D, Liu Z, Meng J, Zhang N, Wei Y-M. Unequal household carbon footprints in China. Nature Climate Change [Internet]. 2017 Jan [cited 2020 Jul 7];7:75–80. Available from:</w:t>
      </w:r>
      <w:r>
        <w:t xml:space="preserve"> </w:t>
      </w:r>
      <w:hyperlink r:id="rId101">
        <w:r>
          <w:rPr>
            <w:rStyle w:val="Hyperlink"/>
          </w:rPr>
          <w:t xml:space="preserve">https://resolver.caltech.edu/CaltechAUTHORS:20161027-112645545</w:t>
        </w:r>
      </w:hyperlink>
    </w:p>
    <w:bookmarkEnd w:id="102"/>
    <w:bookmarkStart w:id="104" w:name="ref-golley_income_2012"/>
    <w:p>
      <w:pPr>
        <w:pStyle w:val="Bibliography"/>
      </w:pPr>
      <w:r>
        <w:t xml:space="preserve">29. Golley J, Meng X. Income inequality and carbon dioxide emissions: The case of Chinese urban households. Energy Economics [Internet]. 2012 Nov [cited 2020 Sep 30];34(6):1864–72. Available from:</w:t>
      </w:r>
      <w:r>
        <w:t xml:space="preserve"> </w:t>
      </w:r>
      <w:hyperlink r:id="rId103">
        <w:r>
          <w:rPr>
            <w:rStyle w:val="Hyperlink"/>
          </w:rPr>
          <w:t xml:space="preserve">http://www.sciencedirect.com/science/article/pii/S0140988312001697</w:t>
        </w:r>
      </w:hyperlink>
    </w:p>
    <w:bookmarkEnd w:id="104"/>
    <w:bookmarkStart w:id="106" w:name="ref-steenolsen_carbon_2016"/>
    <w:p>
      <w:pPr>
        <w:pStyle w:val="Bibliography"/>
      </w:pPr>
      <w:r>
        <w:t xml:space="preserve">30. Steen‐Olsen K, Wood R, Hertwich EG. The Carbon Footprint of Norwegian Household Consumption 1999–2012. Journal of Industrial Ecology [Internet]. 2016 [cited 2020 Aug 28];20(3):582–92. Available from:</w:t>
      </w:r>
      <w:r>
        <w:t xml:space="preserve"> </w:t>
      </w:r>
      <w:hyperlink r:id="rId105">
        <w:r>
          <w:rPr>
            <w:rStyle w:val="Hyperlink"/>
          </w:rPr>
          <w:t xml:space="preserve">https://onlinelibrary.wiley.com/doi/abs/10.1111/jiec.12405</w:t>
        </w:r>
      </w:hyperlink>
    </w:p>
    <w:bookmarkEnd w:id="106"/>
    <w:bookmarkStart w:id="108" w:name="ref-weber_quantifying_2008"/>
    <w:p>
      <w:pPr>
        <w:pStyle w:val="Bibliography"/>
      </w:pPr>
      <w:r>
        <w:t xml:space="preserve">31. Weber CL, Matthews HS. Quantifying the global and distributional aspects of American household carbon footprint. Ecological Economics [Internet]. 2008 Jun [cited 2013 Sep 16];66(2–3):379–91. Available from:</w:t>
      </w:r>
      <w:r>
        <w:t xml:space="preserve"> </w:t>
      </w:r>
      <w:hyperlink r:id="rId107">
        <w:r>
          <w:rPr>
            <w:rStyle w:val="Hyperlink"/>
          </w:rPr>
          <w:t xml:space="preserve">http://www.sciencedirect.com/science/article/pii/S0921800907004934</w:t>
        </w:r>
      </w:hyperlink>
    </w:p>
    <w:bookmarkEnd w:id="108"/>
    <w:bookmarkStart w:id="110" w:name="ref-hardadi_implications_2020"/>
    <w:p>
      <w:pPr>
        <w:pStyle w:val="Bibliography"/>
      </w:pPr>
      <w:r>
        <w:t xml:space="preserve">32.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9">
        <w:r>
          <w:rPr>
            <w:rStyle w:val="Hyperlink"/>
          </w:rPr>
          <w:t xml:space="preserve">https://onlinelibrary.wiley.com/doi/abs/10.1111/jiec.13045</w:t>
        </w:r>
      </w:hyperlink>
    </w:p>
    <w:bookmarkEnd w:id="110"/>
    <w:bookmarkStart w:id="112" w:name="ref-berthe_mechanisms_2015"/>
    <w:p>
      <w:pPr>
        <w:pStyle w:val="Bibliography"/>
      </w:pPr>
      <w:r>
        <w:t xml:space="preserve">33. Berthe A, Elie L. Mechanisms explaining the impact of economic inequality on environmental deterioration. Ecological Economics [Internet]. 2015 [cited 2019 Dec 18];116(Complete):191–200. Available from:</w:t>
      </w:r>
      <w:r>
        <w:t xml:space="preserve"> </w:t>
      </w:r>
      <w:hyperlink r:id="rId111">
        <w:r>
          <w:rPr>
            <w:rStyle w:val="Hyperlink"/>
          </w:rPr>
          <w:t xml:space="preserve">http://journals.scholarsportal.info/detailsundefined</w:t>
        </w:r>
      </w:hyperlink>
    </w:p>
    <w:bookmarkEnd w:id="112"/>
    <w:bookmarkStart w:id="114" w:name="ref-scruggs_political_1998"/>
    <w:p>
      <w:pPr>
        <w:pStyle w:val="Bibliography"/>
      </w:pPr>
      <w:r>
        <w:t xml:space="preserve">34. Scruggs L. Political and economic inequality and the environment. Ecological Economics [Internet]. 1998 [cited 2020 Jan 15];26(3):259–75. Available from:</w:t>
      </w:r>
      <w:r>
        <w:t xml:space="preserve"> </w:t>
      </w:r>
      <w:hyperlink r:id="rId113">
        <w:r>
          <w:rPr>
            <w:rStyle w:val="Hyperlink"/>
          </w:rPr>
          <w:t xml:space="preserve">https://econpapers.repec.org/article/eeeecolec/v_3a26_3ay_3a1998_3ai_3a3_3ap_3a259-275.htm</w:t>
        </w:r>
      </w:hyperlink>
    </w:p>
    <w:bookmarkEnd w:id="114"/>
    <w:bookmarkStart w:id="116" w:name="ref-kerkhof_determinants_2009"/>
    <w:p>
      <w:pPr>
        <w:pStyle w:val="Bibliography"/>
      </w:pPr>
      <w:r>
        <w:t xml:space="preserve">35. Kerkhof AC, Benders RMJ, Moll HC. Determinants of variation in household CO2 emissions between and within countries. Energy Policy [Internet]. 2009 [cited 2020 Jul 13];37(4):1509–17. Available from:</w:t>
      </w:r>
      <w:r>
        <w:t xml:space="preserve"> </w:t>
      </w:r>
      <w:hyperlink r:id="rId115">
        <w:r>
          <w:rPr>
            <w:rStyle w:val="Hyperlink"/>
          </w:rPr>
          <w:t xml:space="preserve">https://econpapers.repec.org/article/eeeenepol/v_3a37_3ay_3a2009_3ai_3a4_3ap_3a1509-1517.htm</w:t>
        </w:r>
      </w:hyperlink>
    </w:p>
    <w:bookmarkEnd w:id="116"/>
    <w:bookmarkStart w:id="118" w:name="ref-royston_invisible_2018"/>
    <w:p>
      <w:pPr>
        <w:pStyle w:val="Bibliography"/>
      </w:pPr>
      <w:r>
        <w:t xml:space="preserve">36. Royston S, Selby J, Shove E. Invisible energy policies: A new agenda for energy demand reduction. Energy Policy [Internet]. 2018 Dec [cited 2019 Jan 31];123:127–35. Available from:</w:t>
      </w:r>
      <w:r>
        <w:t xml:space="preserve"> </w:t>
      </w:r>
      <w:hyperlink r:id="rId117">
        <w:r>
          <w:rPr>
            <w:rStyle w:val="Hyperlink"/>
          </w:rPr>
          <w:t xml:space="preserve">https://linkinghub.elsevier.com/retrieve/pii/S0301421518305810</w:t>
        </w:r>
      </w:hyperlink>
    </w:p>
    <w:bookmarkEnd w:id="118"/>
    <w:bookmarkStart w:id="120" w:name="ref-hubacek_poverty_2017"/>
    <w:p>
      <w:pPr>
        <w:pStyle w:val="Bibliography"/>
      </w:pPr>
      <w:r>
        <w:t xml:space="preserve">37. Hubacek K, Baiocchi G, Feng K, Patwardhan A. Poverty eradication in a carbon constrained world. Nature Communications [Internet]. 2017 Oct [cited 2020 Apr 23];8(1):1–9. Available from:</w:t>
      </w:r>
      <w:r>
        <w:t xml:space="preserve"> </w:t>
      </w:r>
      <w:hyperlink r:id="rId119">
        <w:r>
          <w:rPr>
            <w:rStyle w:val="Hyperlink"/>
          </w:rPr>
          <w:t xml:space="preserve">https://www.nature.com/articles/s41467-017-00919-4</w:t>
        </w:r>
      </w:hyperlink>
    </w:p>
    <w:bookmarkEnd w:id="120"/>
    <w:bookmarkStart w:id="122" w:name="ref-woodward_incrementum_2015"/>
    <w:p>
      <w:pPr>
        <w:pStyle w:val="Bibliography"/>
      </w:pPr>
      <w:r>
        <w:t xml:space="preserve">38. Woodward D. Incrementum ad Absurdum: Global Growth, Inequality and Poverty Eradication in a Carbon-Constrained World. World Social and Economic Review [Internet]. 2015 Feb [cited 2019 Mar 5];2015(No 4, 2015):43. Available from:</w:t>
      </w:r>
      <w:r>
        <w:t xml:space="preserve"> </w:t>
      </w:r>
      <w:hyperlink r:id="rId121">
        <w:r>
          <w:rPr>
            <w:rStyle w:val="Hyperlink"/>
          </w:rPr>
          <w:t xml:space="preserve">http://wer.worldeconomicsassociation.org/papers/incrementum-ad-absurdum-global-growth-inequality-and-poverty-eradication-in-a-carbon-constrained-world/</w:t>
        </w:r>
      </w:hyperlink>
    </w:p>
    <w:bookmarkEnd w:id="122"/>
    <w:bookmarkStart w:id="124" w:name="ref-alfredsson_why_2018"/>
    <w:p>
      <w:pPr>
        <w:pStyle w:val="Bibliography"/>
      </w:pPr>
      <w:r>
        <w:t xml:space="preserve">39.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23">
        <w:r>
          <w:rPr>
            <w:rStyle w:val="Hyperlink"/>
          </w:rPr>
          <w:t xml:space="preserve">https://doi.org/10.1080/15487733.2018.1458815</w:t>
        </w:r>
      </w:hyperlink>
    </w:p>
    <w:bookmarkEnd w:id="124"/>
    <w:bookmarkStart w:id="126" w:name="ref-gough_recomposing_2017"/>
    <w:p>
      <w:pPr>
        <w:pStyle w:val="Bibliography"/>
      </w:pPr>
      <w:r>
        <w:t xml:space="preserve">40.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25">
        <w:r>
          <w:rPr>
            <w:rStyle w:val="Hyperlink"/>
          </w:rPr>
          <w:t xml:space="preserve">https://royalsocietypublishing.org/doi/full/10.1098/rsta.2016.0379</w:t>
        </w:r>
      </w:hyperlink>
    </w:p>
    <w:bookmarkEnd w:id="126"/>
    <w:bookmarkEnd w:id="127"/>
    <w:p>
      <w:r>
        <w:br w:type="page"/>
      </w:r>
    </w:p>
    <w:p>
      <w:pPr>
        <w:pStyle w:val="Heading3"/>
      </w:pPr>
      <w:bookmarkStart w:id="128" w:name="colophon"/>
      <w:r>
        <w:t xml:space="preserve">Colophon</w:t>
      </w:r>
      <w:bookmarkEnd w:id="128"/>
    </w:p>
    <w:p>
      <w:pPr>
        <w:pStyle w:val="FirstParagraph"/>
      </w:pPr>
      <w:r>
        <w:t xml:space="preserve">This report was generated on 2021-02-02 17:19:49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2021-02-02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[5e536fa] 2021-02-02: edit figure 5</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2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
    <w:abstractNumId w:val="2"/>
  </w:num>
  <w:num w:numId="2">
    <w:abstractNumId w:val="1"/>
  </w:num>
  <w:num w:numId="3">
    <w:abstractNumId w:val="0"/>
  </w:num>
  <w:num w:numId="1000">
    <w:abstractNumId w:val="990"/>
  </w:num>
  <w:num w:numId="1001">
    <w:abstractNumId w:val="994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9" Target="media/rId29.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image" Id="rId35" Target="media/rId35.pdf" /><Relationship Type="http://schemas.openxmlformats.org/officeDocument/2006/relationships/image" Id="rId39" Target="media/rId39.pdf" /><Relationship Type="http://schemas.openxmlformats.org/officeDocument/2006/relationships/hyperlink" Id="rId83" Target="http://iopscience.iop.org/10.1088/1748-9326/ab8589" TargetMode="External" /><Relationship Type="http://schemas.openxmlformats.org/officeDocument/2006/relationships/hyperlink" Id="rId111" Target="http://journals.scholarsportal.info/detailsundefined" TargetMode="External" /><Relationship Type="http://schemas.openxmlformats.org/officeDocument/2006/relationships/hyperlink" Id="rId121" Target="http://wer.worldeconomicsassociation.org/papers/incrementum-ad-absurdum-global-growth-inequality-and-poverty-eradication-in-a-carbon-constrained-world/" TargetMode="External" /><Relationship Type="http://schemas.openxmlformats.org/officeDocument/2006/relationships/hyperlink" Id="rId49" Target="http://www.nature.com/articles/s41558-018-0121-1" TargetMode="External" /><Relationship Type="http://schemas.openxmlformats.org/officeDocument/2006/relationships/hyperlink" Id="rId103" Target="http://www.sciencedirect.com/science/article/pii/S0140988312001697" TargetMode="External" /><Relationship Type="http://schemas.openxmlformats.org/officeDocument/2006/relationships/hyperlink" Id="rId81" Target="http://www.sciencedirect.com/science/article/pii/S036054421730614X" TargetMode="External" /><Relationship Type="http://schemas.openxmlformats.org/officeDocument/2006/relationships/hyperlink" Id="rId89" Target="http://www.sciencedirect.com/science/article/pii/S0360544218324927" TargetMode="External" /><Relationship Type="http://schemas.openxmlformats.org/officeDocument/2006/relationships/hyperlink" Id="rId107" Target="http://www.sciencedirect.com/science/article/pii/S0921800907004934" TargetMode="External" /><Relationship Type="http://schemas.openxmlformats.org/officeDocument/2006/relationships/hyperlink" Id="rId69" Target="http://www.sciencedirect.com/science/article/pii/S0959378016300681" TargetMode="External" /><Relationship Type="http://schemas.openxmlformats.org/officeDocument/2006/relationships/hyperlink" Id="rId53" Target="http://www.sciencedirect.com/science/article/pii/S0959378020307512" TargetMode="External" /><Relationship Type="http://schemas.openxmlformats.org/officeDocument/2006/relationships/hyperlink" Id="rId79" Target="https://appsso.eurostat.ec.europa.eu/nui/submitViewTableAction.do" TargetMode="External" /><Relationship Type="http://schemas.openxmlformats.org/officeDocument/2006/relationships/hyperlink" Id="rId97" Target="https://doi.org/10.1007/s40974-017-0072-9" TargetMode="External" /><Relationship Type="http://schemas.openxmlformats.org/officeDocument/2006/relationships/hyperlink" Id="rId123" Target="https://doi.org/10.1080/15487733.2018.1458815" TargetMode="External" /><Relationship Type="http://schemas.openxmlformats.org/officeDocument/2006/relationships/hyperlink" Id="rId91" Target="https://ec.europa.eu/commission/presscorner/detail/en/qanda_20_24" TargetMode="External" /><Relationship Type="http://schemas.openxmlformats.org/officeDocument/2006/relationships/hyperlink" Id="rId67" Target="https://ec.europa.eu/eurostat/documents/54431/1966394/HBS2015_Transmission_DOC_V3.2018_05_22.pdf" TargetMode="External" /><Relationship Type="http://schemas.openxmlformats.org/officeDocument/2006/relationships/hyperlink" Id="rId87" Target="https://ec.europa.eu/eurostat/statistics-explained/index.php?title=Living_conditions_in_Europe_-_material_deprivation_and_economic_strain" TargetMode="External" /><Relationship Type="http://schemas.openxmlformats.org/officeDocument/2006/relationships/hyperlink" Id="rId65" Target="https://ec.europa.eu/eurostat/web/household-budget-surveys/database" TargetMode="External" /><Relationship Type="http://schemas.openxmlformats.org/officeDocument/2006/relationships/hyperlink" Id="rId85" Target="https://ec.europa.eu/info/publications/communication-european-green-deal_en" TargetMode="External" /><Relationship Type="http://schemas.openxmlformats.org/officeDocument/2006/relationships/hyperlink" Id="rId77" Target="https://econpapers.repec.org/article/eeeecolec/v_3a136_3ay_3a2017_3ai_3ac_3ap_3a62-72.htm" TargetMode="External" /><Relationship Type="http://schemas.openxmlformats.org/officeDocument/2006/relationships/hyperlink" Id="rId113" Target="https://econpapers.repec.org/article/eeeecolec/v_3a26_3ay_3a1998_3ai_3a3_3ap_3a259-275.htm" TargetMode="External" /><Relationship Type="http://schemas.openxmlformats.org/officeDocument/2006/relationships/hyperlink" Id="rId115" Target="https://econpapers.repec.org/article/eeeenepol/v_3a37_3ay_3a2009_3ai_3a4_3ap_3a1509-1517.htm" TargetMode="External" /><Relationship Type="http://schemas.openxmlformats.org/officeDocument/2006/relationships/hyperlink" Id="rId75" Target="https://joss.theoj.org/papers/10.21105/joss.01686" TargetMode="External" /><Relationship Type="http://schemas.openxmlformats.org/officeDocument/2006/relationships/hyperlink" Id="rId117" Target="https://linkinghub.elsevier.com/retrieve/pii/S0301421518305810" TargetMode="External" /><Relationship Type="http://schemas.openxmlformats.org/officeDocument/2006/relationships/hyperlink" Id="rId57" Target="https://onlinelibrary.wiley.com/doi/abs/10.1111/jiec.12371" TargetMode="External" /><Relationship Type="http://schemas.openxmlformats.org/officeDocument/2006/relationships/hyperlink" Id="rId105" Target="https://onlinelibrary.wiley.com/doi/abs/10.1111/jiec.12405" TargetMode="External" /><Relationship Type="http://schemas.openxmlformats.org/officeDocument/2006/relationships/hyperlink" Id="rId63" Target="https://onlinelibrary.wiley.com/doi/abs/10.1111/jiec.12715" TargetMode="External" /><Relationship Type="http://schemas.openxmlformats.org/officeDocument/2006/relationships/hyperlink" Id="rId109" Target="https://onlinelibrary.wiley.com/doi/abs/10.1111/jiec.13045" TargetMode="External" /><Relationship Type="http://schemas.openxmlformats.org/officeDocument/2006/relationships/hyperlink" Id="rId51" Target="https://rdcu.be/SOJx" TargetMode="External" /><Relationship Type="http://schemas.openxmlformats.org/officeDocument/2006/relationships/hyperlink" Id="rId101" Target="https://resolver.caltech.edu/CaltechAUTHORS:20161027-112645545" TargetMode="External" /><Relationship Type="http://schemas.openxmlformats.org/officeDocument/2006/relationships/hyperlink" Id="rId125" Target="https://royalsocietypublishing.org/doi/full/10.1098/rsta.2016.0379" TargetMode="External" /><Relationship Type="http://schemas.openxmlformats.org/officeDocument/2006/relationships/hyperlink" Id="rId73" Target="https://www.R-project.org/" TargetMode="External" /><Relationship Type="http://schemas.openxmlformats.org/officeDocument/2006/relationships/hyperlink" Id="rId59"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61" Target="https://www.iges.or.jp/en/pub/15-degrees-lifestyles-2019/en" TargetMode="External" /><Relationship Type="http://schemas.openxmlformats.org/officeDocument/2006/relationships/hyperlink" Id="rId71" Target="https://www.iiasa.ac.at/web-apps/ene/geadb/dsd?Action=htmlpage&amp;page=about" TargetMode="External" /><Relationship Type="http://schemas.openxmlformats.org/officeDocument/2006/relationships/hyperlink" Id="rId119" Target="https://www.nature.com/articles/s41467-017-00919-4" TargetMode="External" /><Relationship Type="http://schemas.openxmlformats.org/officeDocument/2006/relationships/hyperlink" Id="rId55" Target="https://www.nature.com/articles/s41560-020-0579-8" TargetMode="External" /><Relationship Type="http://schemas.openxmlformats.org/officeDocument/2006/relationships/hyperlink" Id="rId99" Target="https://www.oxfam.org/en/research/confronting-carbon-inequality-european-union" TargetMode="External" /><Relationship Type="http://schemas.openxmlformats.org/officeDocument/2006/relationships/hyperlink" Id="rId94"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83" Target="http://iopscience.iop.org/10.1088/1748-9326/ab8589" TargetMode="External" /><Relationship Type="http://schemas.openxmlformats.org/officeDocument/2006/relationships/hyperlink" Id="rId111" Target="http://journals.scholarsportal.info/detailsundefined" TargetMode="External" /><Relationship Type="http://schemas.openxmlformats.org/officeDocument/2006/relationships/hyperlink" Id="rId121" Target="http://wer.worldeconomicsassociation.org/papers/incrementum-ad-absurdum-global-growth-inequality-and-poverty-eradication-in-a-carbon-constrained-world/" TargetMode="External" /><Relationship Type="http://schemas.openxmlformats.org/officeDocument/2006/relationships/hyperlink" Id="rId49" Target="http://www.nature.com/articles/s41558-018-0121-1" TargetMode="External" /><Relationship Type="http://schemas.openxmlformats.org/officeDocument/2006/relationships/hyperlink" Id="rId103" Target="http://www.sciencedirect.com/science/article/pii/S0140988312001697" TargetMode="External" /><Relationship Type="http://schemas.openxmlformats.org/officeDocument/2006/relationships/hyperlink" Id="rId81" Target="http://www.sciencedirect.com/science/article/pii/S036054421730614X" TargetMode="External" /><Relationship Type="http://schemas.openxmlformats.org/officeDocument/2006/relationships/hyperlink" Id="rId89" Target="http://www.sciencedirect.com/science/article/pii/S0360544218324927" TargetMode="External" /><Relationship Type="http://schemas.openxmlformats.org/officeDocument/2006/relationships/hyperlink" Id="rId107" Target="http://www.sciencedirect.com/science/article/pii/S0921800907004934" TargetMode="External" /><Relationship Type="http://schemas.openxmlformats.org/officeDocument/2006/relationships/hyperlink" Id="rId69" Target="http://www.sciencedirect.com/science/article/pii/S0959378016300681" TargetMode="External" /><Relationship Type="http://schemas.openxmlformats.org/officeDocument/2006/relationships/hyperlink" Id="rId53" Target="http://www.sciencedirect.com/science/article/pii/S0959378020307512" TargetMode="External" /><Relationship Type="http://schemas.openxmlformats.org/officeDocument/2006/relationships/hyperlink" Id="rId79" Target="https://appsso.eurostat.ec.europa.eu/nui/submitViewTableAction.do" TargetMode="External" /><Relationship Type="http://schemas.openxmlformats.org/officeDocument/2006/relationships/hyperlink" Id="rId97" Target="https://doi.org/10.1007/s40974-017-0072-9" TargetMode="External" /><Relationship Type="http://schemas.openxmlformats.org/officeDocument/2006/relationships/hyperlink" Id="rId123" Target="https://doi.org/10.1080/15487733.2018.1458815" TargetMode="External" /><Relationship Type="http://schemas.openxmlformats.org/officeDocument/2006/relationships/hyperlink" Id="rId91" Target="https://ec.europa.eu/commission/presscorner/detail/en/qanda_20_24" TargetMode="External" /><Relationship Type="http://schemas.openxmlformats.org/officeDocument/2006/relationships/hyperlink" Id="rId67" Target="https://ec.europa.eu/eurostat/documents/54431/1966394/HBS2015_Transmission_DOC_V3.2018_05_22.pdf" TargetMode="External" /><Relationship Type="http://schemas.openxmlformats.org/officeDocument/2006/relationships/hyperlink" Id="rId87" Target="https://ec.europa.eu/eurostat/statistics-explained/index.php?title=Living_conditions_in_Europe_-_material_deprivation_and_economic_strain" TargetMode="External" /><Relationship Type="http://schemas.openxmlformats.org/officeDocument/2006/relationships/hyperlink" Id="rId65" Target="https://ec.europa.eu/eurostat/web/household-budget-surveys/database" TargetMode="External" /><Relationship Type="http://schemas.openxmlformats.org/officeDocument/2006/relationships/hyperlink" Id="rId85" Target="https://ec.europa.eu/info/publications/communication-european-green-deal_en" TargetMode="External" /><Relationship Type="http://schemas.openxmlformats.org/officeDocument/2006/relationships/hyperlink" Id="rId77" Target="https://econpapers.repec.org/article/eeeecolec/v_3a136_3ay_3a2017_3ai_3ac_3ap_3a62-72.htm" TargetMode="External" /><Relationship Type="http://schemas.openxmlformats.org/officeDocument/2006/relationships/hyperlink" Id="rId113" Target="https://econpapers.repec.org/article/eeeecolec/v_3a26_3ay_3a1998_3ai_3a3_3ap_3a259-275.htm" TargetMode="External" /><Relationship Type="http://schemas.openxmlformats.org/officeDocument/2006/relationships/hyperlink" Id="rId115" Target="https://econpapers.repec.org/article/eeeenepol/v_3a37_3ay_3a2009_3ai_3a4_3ap_3a1509-1517.htm" TargetMode="External" /><Relationship Type="http://schemas.openxmlformats.org/officeDocument/2006/relationships/hyperlink" Id="rId75" Target="https://joss.theoj.org/papers/10.21105/joss.01686" TargetMode="External" /><Relationship Type="http://schemas.openxmlformats.org/officeDocument/2006/relationships/hyperlink" Id="rId117" Target="https://linkinghub.elsevier.com/retrieve/pii/S0301421518305810" TargetMode="External" /><Relationship Type="http://schemas.openxmlformats.org/officeDocument/2006/relationships/hyperlink" Id="rId57" Target="https://onlinelibrary.wiley.com/doi/abs/10.1111/jiec.12371" TargetMode="External" /><Relationship Type="http://schemas.openxmlformats.org/officeDocument/2006/relationships/hyperlink" Id="rId105" Target="https://onlinelibrary.wiley.com/doi/abs/10.1111/jiec.12405" TargetMode="External" /><Relationship Type="http://schemas.openxmlformats.org/officeDocument/2006/relationships/hyperlink" Id="rId63" Target="https://onlinelibrary.wiley.com/doi/abs/10.1111/jiec.12715" TargetMode="External" /><Relationship Type="http://schemas.openxmlformats.org/officeDocument/2006/relationships/hyperlink" Id="rId109" Target="https://onlinelibrary.wiley.com/doi/abs/10.1111/jiec.13045" TargetMode="External" /><Relationship Type="http://schemas.openxmlformats.org/officeDocument/2006/relationships/hyperlink" Id="rId51" Target="https://rdcu.be/SOJx" TargetMode="External" /><Relationship Type="http://schemas.openxmlformats.org/officeDocument/2006/relationships/hyperlink" Id="rId101" Target="https://resolver.caltech.edu/CaltechAUTHORS:20161027-112645545" TargetMode="External" /><Relationship Type="http://schemas.openxmlformats.org/officeDocument/2006/relationships/hyperlink" Id="rId125" Target="https://royalsocietypublishing.org/doi/full/10.1098/rsta.2016.0379" TargetMode="External" /><Relationship Type="http://schemas.openxmlformats.org/officeDocument/2006/relationships/hyperlink" Id="rId73" Target="https://www.R-project.org/" TargetMode="External" /><Relationship Type="http://schemas.openxmlformats.org/officeDocument/2006/relationships/hyperlink" Id="rId59"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61" Target="https://www.iges.or.jp/en/pub/15-degrees-lifestyles-2019/en" TargetMode="External" /><Relationship Type="http://schemas.openxmlformats.org/officeDocument/2006/relationships/hyperlink" Id="rId71" Target="https://www.iiasa.ac.at/web-apps/ene/geadb/dsd?Action=htmlpage&amp;page=about" TargetMode="External" /><Relationship Type="http://schemas.openxmlformats.org/officeDocument/2006/relationships/hyperlink" Id="rId119" Target="https://www.nature.com/articles/s41467-017-00919-4" TargetMode="External" /><Relationship Type="http://schemas.openxmlformats.org/officeDocument/2006/relationships/hyperlink" Id="rId55" Target="https://www.nature.com/articles/s41560-020-0579-8" TargetMode="External" /><Relationship Type="http://schemas.openxmlformats.org/officeDocument/2006/relationships/hyperlink" Id="rId99" Target="https://www.oxfam.org/en/research/confronting-carbon-inequality-european-union" TargetMode="External" /><Relationship Type="http://schemas.openxmlformats.org/officeDocument/2006/relationships/hyperlink" Id="rId94"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2021-02-02T16:19:52Z</dcterms:created>
  <dcterms:modified xsi:type="dcterms:W3CDTF">2021-02-02T16:19:52Z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