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40" w:before="0" w:after="0"/>
        <w:rPr/>
      </w:pPr>
      <w:r>
        <mc:AlternateContent>
          <mc:Choice Requires="wps">
            <w:drawing>
              <wp:anchor behindDoc="0" distT="0" distB="0" distL="114300" distR="114300" simplePos="0" locked="0" layoutInCell="1" allowOverlap="1" relativeHeight="2" wp14:anchorId="46740AAC">
                <wp:simplePos x="0" y="0"/>
                <wp:positionH relativeFrom="column">
                  <wp:posOffset>3937000</wp:posOffset>
                </wp:positionH>
                <wp:positionV relativeFrom="paragraph">
                  <wp:posOffset>635</wp:posOffset>
                </wp:positionV>
                <wp:extent cx="2104390" cy="586740"/>
                <wp:effectExtent l="0" t="0" r="19050" b="12700"/>
                <wp:wrapNone/>
                <wp:docPr id="1" name="Text Box 3"/>
                <a:graphic xmlns:a="http://schemas.openxmlformats.org/drawingml/2006/main">
                  <a:graphicData uri="http://schemas.microsoft.com/office/word/2010/wordprocessingShape">
                    <wps:wsp>
                      <wps:cNvSpPr/>
                      <wps:spPr>
                        <a:xfrm>
                          <a:off x="0" y="0"/>
                          <a:ext cx="2103840" cy="586080"/>
                        </a:xfrm>
                        <a:prstGeom prst="rect">
                          <a:avLst/>
                        </a:prstGeom>
                        <a:noFill/>
                        <a:ln w="6480">
                          <a:noFill/>
                        </a:ln>
                      </wps:spPr>
                      <wps:style>
                        <a:lnRef idx="0">
                          <a:schemeClr val="accent1"/>
                        </a:lnRef>
                        <a:fillRef idx="0">
                          <a:schemeClr val="accent1"/>
                        </a:fillRef>
                        <a:effectRef idx="0">
                          <a:schemeClr val="accent1"/>
                        </a:effectRef>
                        <a:fontRef idx="minor"/>
                      </wps:style>
                      <wps:txbx>
                        <w:txbxContent>
                          <w:p>
                            <w:pPr>
                              <w:pStyle w:val="FrameContents"/>
                              <w:rPr/>
                            </w:pPr>
                            <w:r>
                              <w:rPr>
                                <w:i/>
                                <w:color w:val="000000"/>
                                <w:sz w:val="20"/>
                                <w:szCs w:val="20"/>
                              </w:rPr>
                              <w:t>Phone: +49 331 288 2494</w:t>
                            </w:r>
                          </w:p>
                          <w:p>
                            <w:pPr>
                              <w:pStyle w:val="FrameContents"/>
                              <w:rPr/>
                            </w:pPr>
                            <w:r>
                              <w:rPr>
                                <w:i/>
                                <w:color w:val="000000"/>
                                <w:sz w:val="20"/>
                                <w:szCs w:val="20"/>
                              </w:rPr>
                              <w:t>Email: weisz@pik-potsdam.de</w:t>
                            </w:r>
                          </w:p>
                        </w:txbxContent>
                      </wps:txbx>
                      <wps:bodyPr>
                        <a:prstTxWarp prst="textNoShape"/>
                        <a:noAutofit/>
                      </wps:bodyPr>
                    </wps:wsp>
                  </a:graphicData>
                </a:graphic>
              </wp:anchor>
            </w:drawing>
          </mc:Choice>
          <mc:Fallback>
            <w:pict>
              <v:rect id="shape_0" ID="Text Box 3" stroked="f" style="position:absolute;margin-left:310pt;margin-top:0.05pt;width:165.6pt;height:46.1pt" wp14:anchorId="46740AAC">
                <w10:wrap type="square"/>
                <v:fill o:detectmouseclick="t" on="false"/>
                <v:stroke color="#3465a4" weight="6480" joinstyle="round" endcap="flat"/>
                <v:textbox>
                  <w:txbxContent>
                    <w:p>
                      <w:pPr>
                        <w:pStyle w:val="FrameContents"/>
                        <w:rPr/>
                      </w:pPr>
                      <w:r>
                        <w:rPr>
                          <w:i/>
                          <w:color w:val="000000"/>
                          <w:sz w:val="20"/>
                          <w:szCs w:val="20"/>
                        </w:rPr>
                        <w:t>Phone: +49 331 288 2494</w:t>
                      </w:r>
                    </w:p>
                    <w:p>
                      <w:pPr>
                        <w:pStyle w:val="FrameContents"/>
                        <w:rPr/>
                      </w:pPr>
                      <w:r>
                        <w:rPr>
                          <w:i/>
                          <w:color w:val="000000"/>
                          <w:sz w:val="20"/>
                          <w:szCs w:val="20"/>
                        </w:rPr>
                        <w:t>Email: weisz@pik-potsdam.de</w:t>
                      </w:r>
                    </w:p>
                  </w:txbxContent>
                </v:textbox>
              </v:rect>
            </w:pict>
          </mc:Fallback>
        </mc:AlternateContent>
      </w:r>
      <w:r>
        <w:rPr>
          <w:sz w:val="20"/>
          <w:szCs w:val="20"/>
          <w:lang w:val="en-GB"/>
        </w:rPr>
        <w:t>Prof. Dr. Helga Weisz</w:t>
      </w:r>
    </w:p>
    <w:p>
      <w:pPr>
        <w:pStyle w:val="Normal"/>
        <w:spacing w:lineRule="atLeast" w:line="240" w:before="0" w:after="0"/>
        <w:rPr/>
      </w:pPr>
      <w:r>
        <w:rPr>
          <w:sz w:val="20"/>
          <w:szCs w:val="20"/>
          <w:lang w:val="en-GB"/>
        </w:rPr>
        <w:t>Potsdam-Institute for Climate Impact Research</w:t>
      </w:r>
    </w:p>
    <w:p>
      <w:pPr>
        <w:pStyle w:val="Normal"/>
        <w:spacing w:lineRule="atLeast" w:line="240" w:before="0" w:after="0"/>
        <w:rPr/>
      </w:pPr>
      <w:r>
        <w:rPr>
          <w:sz w:val="20"/>
          <w:szCs w:val="20"/>
          <w:lang w:val="en-GB"/>
        </w:rPr>
        <w:t>Telegrafenberg A 56</w:t>
      </w:r>
    </w:p>
    <w:p>
      <w:pPr>
        <w:pStyle w:val="Normal"/>
        <w:spacing w:lineRule="atLeast" w:line="240" w:before="0" w:after="0"/>
        <w:rPr/>
      </w:pPr>
      <w:r>
        <w:rPr>
          <w:sz w:val="20"/>
          <w:szCs w:val="20"/>
          <w:lang w:val="en-GB"/>
        </w:rPr>
        <w:t>14473 Potsdam, Germany</w:t>
      </w:r>
    </w:p>
    <w:p>
      <w:pPr>
        <w:pStyle w:val="Normal"/>
        <w:spacing w:lineRule="atLeast" w:line="240" w:before="0" w:after="0"/>
        <w:rPr>
          <w:sz w:val="20"/>
          <w:szCs w:val="20"/>
          <w:lang w:val="en-GB"/>
        </w:rPr>
      </w:pPr>
      <w:r>
        <w:rPr>
          <w:sz w:val="20"/>
          <w:szCs w:val="20"/>
          <w:lang w:val="en-GB"/>
        </w:rPr>
      </w:r>
    </w:p>
    <w:p>
      <w:pPr>
        <w:pStyle w:val="FrameContents"/>
        <w:spacing w:lineRule="atLeast" w:line="240" w:before="0" w:after="0"/>
        <w:rPr>
          <w:sz w:val="20"/>
          <w:szCs w:val="20"/>
          <w:lang w:val="en-GB"/>
        </w:rPr>
      </w:pPr>
      <w:r>
        <w:rPr>
          <w:sz w:val="20"/>
          <w:szCs w:val="20"/>
          <w:lang w:val="en-GB"/>
        </w:rPr>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pPr>
      <w:r>
        <w:rPr>
          <w:rFonts w:cs="Arial"/>
          <w:sz w:val="20"/>
          <w:szCs w:val="20"/>
          <w:lang w:val="en-GB"/>
        </w:rPr>
        <w:t>Potsdam, xday, x February 2021</w:t>
      </w:r>
    </w:p>
    <w:p>
      <w:pPr>
        <w:pStyle w:val="Normal"/>
        <w:widowControl w:val="false"/>
        <w:jc w:val="right"/>
        <w:rPr>
          <w:rFonts w:cs="Arial"/>
          <w:sz w:val="20"/>
          <w:szCs w:val="20"/>
          <w:lang w:val="en-GB"/>
        </w:rPr>
      </w:pPr>
      <w:r>
        <w:rPr>
          <w:rFonts w:cs="Arial"/>
          <w:sz w:val="20"/>
          <w:szCs w:val="20"/>
          <w:lang w:val="en-GB"/>
        </w:rPr>
      </w:r>
    </w:p>
    <w:p>
      <w:pPr>
        <w:pStyle w:val="Normal"/>
        <w:widowControl w:val="false"/>
        <w:jc w:val="right"/>
        <w:rPr>
          <w:sz w:val="20"/>
          <w:szCs w:val="20"/>
          <w:lang w:val="en-GB"/>
        </w:rPr>
      </w:pPr>
      <w:r>
        <w:rPr>
          <w:sz w:val="20"/>
          <w:szCs w:val="20"/>
          <w:lang w:val="en-GB"/>
        </w:rPr>
      </w:r>
    </w:p>
    <w:p>
      <w:pPr>
        <w:pStyle w:val="List"/>
        <w:spacing w:lineRule="atLeast" w:line="240" w:before="60" w:after="0"/>
        <w:rPr/>
      </w:pPr>
      <w:r>
        <w:rPr>
          <w:rFonts w:cs="" w:cstheme="minorBidi"/>
          <w:b/>
          <w:sz w:val="20"/>
          <w:szCs w:val="20"/>
          <w:lang w:val="en-GB"/>
        </w:rPr>
        <w:t xml:space="preserve">Cover letter for the manuscript </w:t>
      </w:r>
      <w:r>
        <w:rPr>
          <w:b/>
          <w:sz w:val="20"/>
          <w:szCs w:val="20"/>
          <w:lang w:val="en-GB"/>
        </w:rPr>
        <w:t>“</w:t>
      </w:r>
      <w:r>
        <w:rPr>
          <w:rFonts w:cs="Arial"/>
          <w:b/>
          <w:i/>
          <w:sz w:val="20"/>
          <w:szCs w:val="20"/>
          <w:lang w:val="en-GB"/>
        </w:rPr>
        <w:t>The energy and carbon inequality corridor for a 1.5°C compatible and just Europe</w:t>
      </w:r>
      <w:r>
        <w:rPr>
          <w:b/>
          <w:sz w:val="20"/>
          <w:szCs w:val="20"/>
          <w:lang w:val="en-GB"/>
        </w:rPr>
        <w:t>” by Jaccard and colleagues submitted to Environmental Research Letters</w:t>
      </w:r>
    </w:p>
    <w:p>
      <w:pPr>
        <w:pStyle w:val="List"/>
        <w:spacing w:lineRule="atLeast" w:line="240" w:before="60" w:after="0"/>
        <w:rPr>
          <w:rFonts w:cs="" w:cstheme="minorBidi"/>
          <w:sz w:val="20"/>
          <w:szCs w:val="20"/>
          <w:lang w:val="en-GB"/>
        </w:rPr>
      </w:pPr>
      <w:r>
        <w:rPr>
          <w:rFonts w:cs="" w:cstheme="minorBidi"/>
          <w:sz w:val="20"/>
          <w:szCs w:val="20"/>
          <w:lang w:val="en-GB"/>
        </w:rPr>
      </w:r>
    </w:p>
    <w:p>
      <w:pPr>
        <w:pStyle w:val="List"/>
        <w:spacing w:lineRule="atLeast" w:line="240" w:before="60" w:after="0"/>
        <w:rPr/>
      </w:pPr>
      <w:r>
        <w:rPr>
          <w:rFonts w:cs="" w:cstheme="minorBidi"/>
          <w:sz w:val="20"/>
          <w:szCs w:val="20"/>
          <w:lang w:val="en-GB"/>
        </w:rPr>
        <w:t xml:space="preserve">Dear Prof. Kammen, dear ERL Editors, </w:t>
      </w:r>
    </w:p>
    <w:p>
      <w:pPr>
        <w:pStyle w:val="NormalWeb"/>
        <w:spacing w:lineRule="auto" w:line="240" w:beforeAutospacing="0" w:before="360" w:after="360"/>
        <w:rPr/>
      </w:pPr>
      <w:r>
        <w:rPr>
          <w:rFonts w:asciiTheme="minorHAnsi" w:hAnsiTheme="minorHAnsi"/>
          <w:sz w:val="20"/>
          <w:szCs w:val="20"/>
          <w:lang w:val="en-GB"/>
        </w:rPr>
        <w:t xml:space="preserve">We here provide an examination of the corridor of possible distributions of household energy and carbon footprints for the populations of 28 European countries that satisfy both minimum energy use for a decent life and the maximum supply of decarbonised energy </w:t>
      </w:r>
      <w:r>
        <w:rPr>
          <w:rFonts w:asciiTheme="minorHAnsi" w:hAnsiTheme="minorHAnsi"/>
          <w:sz w:val="20"/>
          <w:szCs w:val="20"/>
          <w:lang w:val="en-GB"/>
        </w:rPr>
        <w:t>compatible with the</w:t>
      </w:r>
      <w:r>
        <w:rPr>
          <w:rFonts w:asciiTheme="minorHAnsi" w:hAnsiTheme="minorHAnsi"/>
          <w:sz w:val="20"/>
          <w:szCs w:val="20"/>
          <w:lang w:val="en-GB"/>
        </w:rPr>
        <w:t xml:space="preserve"> 1.5°C Paris agreement target by 2050. To date, as the relationship between inequality, energy and carbon continues to garner more research and policy attention (1-5), a quantification of the attainable corridor for a 1.5°C compatible and just transition in Europe is missing in the literature. </w:t>
      </w:r>
    </w:p>
    <w:p>
      <w:pPr>
        <w:pStyle w:val="NormalWeb"/>
        <w:spacing w:lineRule="auto" w:line="240" w:beforeAutospacing="0" w:before="360" w:after="360"/>
        <w:rPr/>
      </w:pPr>
      <w:r>
        <w:rPr>
          <w:rFonts w:asciiTheme="minorHAnsi" w:hAnsiTheme="minorHAnsi"/>
          <w:sz w:val="20"/>
          <w:szCs w:val="20"/>
          <w:lang w:val="en-GB"/>
        </w:rPr>
        <w:t xml:space="preserve">We do this by constructing household energy and carbon footprints for harmonized European expenditure deciles in 2015. We find that at 2015 expenditure inequality, this dual goal can only be achieved through CCS deployment, large and fast efficiency improvements, plus extremely low minimum energy use </w:t>
      </w:r>
      <w:r>
        <w:rPr>
          <w:rFonts w:asciiTheme="minorHAnsi" w:hAnsiTheme="minorHAnsi"/>
          <w:sz w:val="20"/>
          <w:szCs w:val="20"/>
          <w:lang w:val="en-GB"/>
        </w:rPr>
        <w:t xml:space="preserve">in the bottom decile </w:t>
      </w:r>
      <w:r>
        <w:rPr>
          <w:rFonts w:asciiTheme="minorHAnsi" w:hAnsiTheme="minorHAnsi"/>
          <w:sz w:val="20"/>
          <w:szCs w:val="20"/>
          <w:lang w:val="en-GB"/>
        </w:rPr>
        <w:t xml:space="preserve">of 27 GJ per adult equivalent (as compared to 130 GJ/ae in the </w:t>
      </w:r>
      <w:r>
        <w:rPr>
          <w:rFonts w:asciiTheme="minorHAnsi" w:hAnsiTheme="minorHAnsi"/>
          <w:sz w:val="20"/>
          <w:szCs w:val="20"/>
          <w:lang w:val="en-GB"/>
        </w:rPr>
        <w:t>bottom</w:t>
      </w:r>
      <w:r>
        <w:rPr>
          <w:rFonts w:asciiTheme="minorHAnsi" w:hAnsiTheme="minorHAnsi"/>
          <w:sz w:val="20"/>
          <w:szCs w:val="20"/>
          <w:lang w:val="en-GB"/>
        </w:rPr>
        <w:t xml:space="preserve"> decile </w:t>
      </w:r>
      <w:r>
        <w:rPr>
          <w:rFonts w:asciiTheme="minorHAnsi" w:hAnsiTheme="minorHAnsi"/>
          <w:sz w:val="20"/>
          <w:szCs w:val="20"/>
          <w:lang w:val="en-GB"/>
        </w:rPr>
        <w:t>in 2015</w:t>
      </w:r>
      <w:r>
        <w:rPr>
          <w:rFonts w:asciiTheme="minorHAnsi" w:hAnsiTheme="minorHAnsi"/>
          <w:sz w:val="20"/>
          <w:szCs w:val="20"/>
          <w:lang w:val="en-GB"/>
        </w:rPr>
        <w:t>). When around 50 GJ/ae minimum energy use and no CCS deployment is assumed, the mathematical possible inequality to also achieve the 1.5°C target becomes practically zero.</w:t>
      </w:r>
    </w:p>
    <w:p>
      <w:pPr>
        <w:pStyle w:val="NormalWeb"/>
        <w:spacing w:lineRule="auto" w:line="240" w:beforeAutospacing="0" w:before="0" w:after="0"/>
        <w:rPr/>
      </w:pPr>
      <w:r>
        <w:rPr>
          <w:rFonts w:asciiTheme="minorHAnsi" w:hAnsiTheme="minorHAnsi"/>
          <w:sz w:val="20"/>
          <w:szCs w:val="20"/>
          <w:lang w:val="en-GB"/>
        </w:rPr>
        <w:t xml:space="preserve">Our results are timely and significant. Achieving the Paris agreement climate target requires reductions in energy consumption and carbon emissions in Europe, achieving a maximum supply of decarbonised energy by 2050 (6). Also achieving minimum energy </w:t>
      </w:r>
      <w:r>
        <w:rPr>
          <w:rFonts w:asciiTheme="minorHAnsi" w:hAnsiTheme="minorHAnsi"/>
          <w:sz w:val="20"/>
          <w:szCs w:val="20"/>
          <w:lang w:val="en-GB"/>
        </w:rPr>
        <w:t>use</w:t>
      </w:r>
      <w:r>
        <w:rPr>
          <w:rFonts w:asciiTheme="minorHAnsi" w:hAnsiTheme="minorHAnsi"/>
          <w:sz w:val="20"/>
          <w:szCs w:val="20"/>
          <w:lang w:val="en-GB"/>
        </w:rPr>
        <w:t xml:space="preserve"> for a decent life for all Europeans by 2050 (7,8) means th</w:t>
      </w:r>
      <w:r>
        <w:rPr>
          <w:rFonts w:asciiTheme="minorHAnsi" w:hAnsiTheme="minorHAnsi"/>
          <w:sz w:val="20"/>
          <w:szCs w:val="20"/>
          <w:lang w:val="en-GB"/>
        </w:rPr>
        <w:t>is</w:t>
      </w:r>
      <w:r>
        <w:rPr>
          <w:rFonts w:asciiTheme="minorHAnsi" w:hAnsiTheme="minorHAnsi"/>
          <w:sz w:val="20"/>
          <w:szCs w:val="20"/>
          <w:lang w:val="en-GB"/>
        </w:rPr>
        <w:t xml:space="preserve"> corridor of possible inequality </w:t>
      </w:r>
      <w:r>
        <w:rPr>
          <w:rFonts w:asciiTheme="minorHAnsi" w:hAnsiTheme="minorHAnsi"/>
          <w:sz w:val="20"/>
          <w:szCs w:val="20"/>
          <w:lang w:val="en-GB"/>
        </w:rPr>
        <w:t>must be quantified and well understood</w:t>
      </w:r>
      <w:r>
        <w:rPr>
          <w:rFonts w:asciiTheme="minorHAnsi" w:hAnsiTheme="minorHAnsi"/>
          <w:sz w:val="20"/>
          <w:szCs w:val="20"/>
          <w:lang w:val="en-GB"/>
        </w:rPr>
        <w:t xml:space="preserve">. The links between inequality and achieving climate targets are beginning to be recognized in European policy, as, for example, in a just transition mechanism in the EU’s European Green Deal (9), or a discussed widening of the European Central Bank’s (ECB) mandate to include climate change and inequality. </w:t>
      </w:r>
    </w:p>
    <w:p>
      <w:pPr>
        <w:pStyle w:val="NormalWeb"/>
        <w:spacing w:lineRule="auto" w:line="240" w:beforeAutospacing="0" w:before="0" w:after="0"/>
        <w:rPr>
          <w:rFonts w:asciiTheme="minorHAnsi" w:hAnsiTheme="minorHAnsi"/>
          <w:sz w:val="20"/>
          <w:szCs w:val="20"/>
          <w:lang w:val="en-GB"/>
        </w:rPr>
      </w:pPr>
      <w:r>
        <w:rPr>
          <w:rFonts w:asciiTheme="minorHAnsi" w:hAnsiTheme="minorHAnsi"/>
          <w:sz w:val="20"/>
          <w:szCs w:val="20"/>
          <w:lang w:val="en-GB"/>
        </w:rPr>
      </w:r>
    </w:p>
    <w:p>
      <w:pPr>
        <w:pStyle w:val="NormalWeb"/>
        <w:spacing w:lineRule="auto" w:line="240" w:beforeAutospacing="0" w:before="0" w:after="0"/>
        <w:rPr/>
      </w:pPr>
      <w:r>
        <w:rPr>
          <w:rFonts w:asciiTheme="minorHAnsi" w:hAnsiTheme="minorHAnsi"/>
          <w:sz w:val="20"/>
          <w:szCs w:val="20"/>
          <w:lang w:val="en-GB"/>
        </w:rPr>
        <w:t xml:space="preserve">We show that, while reducing inefficiencies in lower-income groups and reducing absolute energy consumption is critical to achieving climate targets, to achieve this along with a just level of minimum energy use for all, inequality within Europe will likely need to be drastically less in 2050. Being the first examination of this inequality corridor in Europe, based on established methods and data, our study is a seminal contribution to this area. </w:t>
      </w:r>
    </w:p>
    <w:p>
      <w:pPr>
        <w:pStyle w:val="NormalWeb"/>
        <w:spacing w:lineRule="auto" w:line="240" w:beforeAutospacing="0" w:before="0" w:after="0"/>
        <w:rPr>
          <w:rFonts w:asciiTheme="minorHAnsi" w:hAnsiTheme="minorHAnsi"/>
          <w:sz w:val="20"/>
          <w:szCs w:val="20"/>
          <w:lang w:val="en-GB"/>
        </w:rPr>
      </w:pPr>
      <w:r>
        <w:rPr>
          <w:rFonts w:asciiTheme="minorHAnsi" w:hAnsiTheme="minorHAnsi"/>
          <w:sz w:val="20"/>
          <w:szCs w:val="20"/>
          <w:lang w:val="en-GB"/>
        </w:rPr>
      </w:r>
    </w:p>
    <w:p>
      <w:pPr>
        <w:pStyle w:val="Normal"/>
        <w:spacing w:lineRule="auto" w:line="240" w:beforeAutospacing="0" w:before="0" w:after="0"/>
        <w:rPr/>
      </w:pPr>
      <w:r>
        <w:rPr>
          <w:rFonts w:asciiTheme="minorHAnsi" w:hAnsiTheme="minorHAnsi"/>
          <w:sz w:val="20"/>
          <w:szCs w:val="20"/>
          <w:lang w:val="en-GB"/>
        </w:rPr>
        <w:t xml:space="preserve">We provide all information to critically judge and replicate our study and for further analyses based on our results in the supplementary materials. </w:t>
      </w:r>
    </w:p>
    <w:p>
      <w:pPr>
        <w:pStyle w:val="Normal"/>
        <w:spacing w:lineRule="atLeast" w:line="240" w:before="60" w:after="0"/>
        <w:rPr>
          <w:lang w:val="en-GB"/>
        </w:rPr>
      </w:pPr>
      <w:r>
        <w:rPr>
          <w:lang w:val="en-GB"/>
        </w:rPr>
      </w:r>
    </w:p>
    <w:p>
      <w:pPr>
        <w:pStyle w:val="Annotationtext"/>
        <w:spacing w:lineRule="atLeast" w:line="240" w:before="60" w:after="0"/>
        <w:rPr/>
      </w:pPr>
      <w:r>
        <w:rPr>
          <w:lang w:val="en-GB"/>
        </w:rPr>
        <w:t>Thank you for your kind consideration</w:t>
      </w:r>
    </w:p>
    <w:p>
      <w:pPr>
        <w:pStyle w:val="NormalWeb"/>
        <w:spacing w:lineRule="atLeast" w:line="240" w:beforeAutospacing="0" w:before="60" w:afterAutospacing="0" w:after="0"/>
        <w:rPr>
          <w:rFonts w:eastAsia="" w:cs="Arial" w:asciiTheme="minorHAnsi" w:eastAsiaTheme="minorHAnsi" w:hAnsiTheme="minorHAnsi"/>
          <w:sz w:val="20"/>
          <w:szCs w:val="20"/>
          <w:lang w:val="en-GB"/>
        </w:rPr>
      </w:pPr>
      <w:r>
        <w:rPr>
          <w:rFonts w:eastAsia="" w:cs="Arial" w:asciiTheme="minorHAnsi" w:eastAsiaTheme="minorHAnsi" w:hAnsiTheme="minorHAnsi"/>
          <w:sz w:val="20"/>
          <w:szCs w:val="20"/>
          <w:lang w:val="en-GB"/>
        </w:rPr>
      </w:r>
    </w:p>
    <w:p>
      <w:pPr>
        <w:pStyle w:val="NormalWeb"/>
        <w:spacing w:lineRule="atLeast" w:line="240" w:beforeAutospacing="0" w:before="60" w:afterAutospacing="0" w:after="0"/>
        <w:rPr/>
      </w:pPr>
      <w:r>
        <w:rPr>
          <w:rFonts w:eastAsia="" w:cs="Arial" w:asciiTheme="minorHAnsi" w:eastAsiaTheme="minorHAnsi" w:hAnsiTheme="minorHAnsi"/>
          <w:sz w:val="20"/>
          <w:szCs w:val="20"/>
          <w:lang w:val="en-GB"/>
        </w:rPr>
        <w:t>Sincerely,</w:t>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pPr>
      <w:r>
        <w:rPr>
          <w:rFonts w:cs="Arial"/>
          <w:sz w:val="20"/>
          <w:szCs w:val="20"/>
          <w:lang w:val="en-GB"/>
        </w:rPr>
        <w:t xml:space="preserve">Helga Weisz </w:t>
      </w:r>
    </w:p>
    <w:p>
      <w:pPr>
        <w:pStyle w:val="List"/>
        <w:spacing w:lineRule="atLeast" w:line="240" w:before="60" w:after="0"/>
        <w:rPr/>
      </w:pPr>
      <w:r>
        <w:rPr>
          <w:rFonts w:cs="Arial"/>
          <w:sz w:val="20"/>
          <w:szCs w:val="20"/>
          <w:lang w:val="en-GB"/>
        </w:rPr>
        <w:t>(corresponding author) on behalf of all co-authors</w:t>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rFonts w:cs="Arial"/>
          <w:sz w:val="20"/>
          <w:szCs w:val="20"/>
          <w:lang w:val="en-GB"/>
        </w:rPr>
      </w:pPr>
      <w:r>
        <w:rPr>
          <w:rFonts w:cs="Arial"/>
          <w:sz w:val="20"/>
          <w:szCs w:val="20"/>
          <w:lang w:val="en-GB"/>
        </w:rPr>
      </w:r>
    </w:p>
    <w:p>
      <w:pPr>
        <w:pStyle w:val="List"/>
        <w:spacing w:lineRule="atLeast" w:line="240" w:before="60" w:after="0"/>
        <w:rPr>
          <w:rFonts w:cs="Arial"/>
          <w:sz w:val="20"/>
          <w:szCs w:val="20"/>
          <w:lang w:val="en-GB"/>
        </w:rPr>
      </w:pPr>
      <w:r>
        <w:rPr>
          <w:rFonts w:cs="Arial"/>
          <w:sz w:val="20"/>
          <w:szCs w:val="20"/>
          <w:lang w:val="en-GB"/>
        </w:rPr>
      </w:r>
    </w:p>
    <w:p>
      <w:pPr>
        <w:pStyle w:val="Heading3"/>
        <w:rPr/>
      </w:pPr>
      <w:r>
        <w:rPr>
          <w:sz w:val="20"/>
          <w:szCs w:val="20"/>
          <w:lang w:val="en-GB"/>
        </w:rPr>
        <w:t>References</w:t>
      </w:r>
    </w:p>
    <w:p>
      <w:pPr>
        <w:pStyle w:val="Bibliography"/>
        <w:spacing w:lineRule="atLeast" w:line="280" w:before="0" w:after="0"/>
        <w:rPr/>
      </w:pPr>
      <w:r>
        <w:fldChar w:fldCharType="begin"/>
      </w:r>
      <w:r>
        <w:instrText>ADDIN ZOTERO_BIBL {"uncited":[],"omitted":[],"custom":[]} CSL_BIBLIOGRAPHY</w:instrText>
      </w:r>
      <w:r>
        <w:fldChar w:fldCharType="separate"/>
      </w:r>
      <w:bookmarkStart w:id="0" w:name="__Fieldmark__40_1244447009"/>
      <w:r>
        <w:rPr/>
        <w:t>X</w:t>
      </w:r>
      <w:bookmarkStart w:id="1" w:name="__Fieldmark__27_1564958599"/>
      <w:r>
        <w:rPr/>
        <w:t>1</w:t>
      </w:r>
      <w:bookmarkStart w:id="2" w:name="__Fieldmark__27_1671662664"/>
      <w:r>
        <w:rPr/>
        <w:t>)</w:t>
      </w:r>
      <w:bookmarkStart w:id="3" w:name="__Fieldmark__25_1155504681"/>
      <w:r>
        <w:rPr/>
        <w:t xml:space="preserve"> </w:t>
      </w:r>
      <w:bookmarkStart w:id="4" w:name="__Fieldmark__1218_1760808355"/>
      <w:r>
        <w:rPr/>
        <w:t>L</w:t>
      </w:r>
      <w:bookmarkStart w:id="5" w:name="__Fieldmark__31_1760808355"/>
      <w:r>
        <w:rPr/>
        <w:t xml:space="preserve">each M, Reyers B, Bai X, Brondizio ES, Cook C, Díaz S, et al. Equity and sustainability in the Anthropocene: A social–ecological systems perspective on their intertwined futures. Global Sustainability. 2018;1. </w:t>
      </w:r>
      <w:bookmarkEnd w:id="0"/>
      <w:bookmarkEnd w:id="1"/>
      <w:bookmarkEnd w:id="2"/>
      <w:bookmarkEnd w:id="3"/>
      <w:bookmarkEnd w:id="4"/>
      <w:bookmarkEnd w:id="5"/>
      <w:r>
        <w:rPr/>
      </w:r>
      <w:r>
        <w:fldChar w:fldCharType="end"/>
      </w:r>
    </w:p>
    <w:p>
      <w:pPr>
        <w:pStyle w:val="Normal"/>
        <w:spacing w:lineRule="atLeast" w:line="280" w:before="0" w:after="0"/>
        <w:rPr/>
      </w:pPr>
      <w:r>
        <w:rPr/>
      </w:r>
    </w:p>
    <w:p>
      <w:pPr>
        <w:pStyle w:val="Bibliography"/>
        <w:spacing w:lineRule="atLeast" w:line="280" w:before="0" w:after="0"/>
        <w:rPr/>
      </w:pPr>
      <w:r>
        <w:rPr/>
        <w:t xml:space="preserve">2) Oswald Y, Owen A, Steinberger JK. Large inequality in international and intranational energy footprints between income groups and across consumption categories. Nature Energy. 2020 Mar;5(3):231–9. </w:t>
      </w:r>
    </w:p>
    <w:p>
      <w:pPr>
        <w:pStyle w:val="Normal"/>
        <w:spacing w:lineRule="atLeast" w:line="280" w:before="0" w:after="0"/>
        <w:rPr/>
      </w:pPr>
      <w:r>
        <w:rPr/>
      </w:r>
    </w:p>
    <w:p>
      <w:pPr>
        <w:pStyle w:val="Bibliography"/>
        <w:spacing w:lineRule="atLeast" w:line="280" w:before="0" w:after="0"/>
        <w:rPr/>
      </w:pPr>
      <w:r>
        <w:rPr/>
        <w:t xml:space="preserve">3) Oswald Y, Steinberger JK, Ivanova D, Millward-Hopkins J. Global redistribution of income and household energy footprints: A computational thought experiment. Global Sustainability. 2021;4. </w:t>
      </w:r>
    </w:p>
    <w:p>
      <w:pPr>
        <w:pStyle w:val="Normal"/>
        <w:spacing w:lineRule="atLeast" w:line="280" w:before="0" w:after="0"/>
        <w:rPr/>
      </w:pPr>
      <w:r>
        <w:rPr/>
      </w:r>
    </w:p>
    <w:p>
      <w:pPr>
        <w:pStyle w:val="Bibliography"/>
        <w:spacing w:lineRule="atLeast" w:line="280" w:before="0" w:after="0"/>
        <w:rPr/>
      </w:pPr>
      <w:r>
        <w:rPr/>
        <w:t xml:space="preserve"> </w:t>
      </w:r>
      <w:r>
        <w:rPr/>
        <w:t xml:space="preserve">4) Chancel L, Piketty, Thomas. Carbon and inequality: From Kyoto to Paris. Paris School of Economics. 2015; </w:t>
      </w:r>
    </w:p>
    <w:p>
      <w:pPr>
        <w:pStyle w:val="Normal"/>
        <w:spacing w:lineRule="atLeast" w:line="280" w:before="0" w:after="0"/>
        <w:rPr/>
      </w:pPr>
      <w:r>
        <w:rPr/>
      </w:r>
    </w:p>
    <w:p>
      <w:pPr>
        <w:pStyle w:val="Bibliography"/>
        <w:spacing w:lineRule="atLeast" w:line="280" w:before="0" w:after="0"/>
        <w:rPr/>
      </w:pPr>
      <w:r>
        <w:rPr/>
        <w:t xml:space="preserve">5)  Ivanova D, Wood R. The unequal distribution of household carbon footprints in Europe and its link to sustainability. Global Sustainability. 2020;3. </w:t>
      </w:r>
    </w:p>
    <w:p>
      <w:pPr>
        <w:pStyle w:val="Normal"/>
        <w:spacing w:lineRule="atLeast" w:line="280" w:before="0" w:after="0"/>
        <w:rPr/>
      </w:pPr>
      <w:r>
        <w:rPr/>
      </w:r>
    </w:p>
    <w:p>
      <w:pPr>
        <w:pStyle w:val="Bibliography"/>
        <w:spacing w:lineRule="atLeast" w:line="280" w:before="0" w:after="0"/>
        <w:rPr/>
      </w:pPr>
      <w:r>
        <w:rPr/>
        <w:t xml:space="preserve">6) Riahi K, Vuuren DP van, Kriegler E, Edmonds J, O’Neill BC, Fujimori S, et al. The Shared Socioeconomic Pathways and their energy, land use, and greenhouse gas emissions implications: An overview. Global Environmental Change. 2017 Jan;42:153–68. </w:t>
      </w:r>
    </w:p>
    <w:p>
      <w:pPr>
        <w:pStyle w:val="Normal"/>
        <w:spacing w:lineRule="atLeast" w:line="280" w:before="0" w:after="0"/>
        <w:rPr/>
      </w:pPr>
      <w:r>
        <w:rPr/>
      </w:r>
    </w:p>
    <w:p>
      <w:pPr>
        <w:pStyle w:val="Bibliography"/>
        <w:spacing w:lineRule="atLeast" w:line="280" w:before="0" w:after="0"/>
        <w:rPr/>
      </w:pPr>
      <w:r>
        <w:rPr/>
        <w:t xml:space="preserve">7) Grubler A, Wilson C, Bento N, Boza-Kiss B, Krey V, McCollum D, et al. A low energy demand scenario for meeting the 1.5 °C target and sustainable development goals without negative emission technologies. Nature Energy. 2018 Jun;3:517–25. </w:t>
      </w:r>
    </w:p>
    <w:p>
      <w:pPr>
        <w:pStyle w:val="Normal"/>
        <w:spacing w:lineRule="atLeast" w:line="280" w:before="0" w:after="0"/>
        <w:rPr/>
      </w:pPr>
      <w:r>
        <w:rPr/>
      </w:r>
    </w:p>
    <w:p>
      <w:pPr>
        <w:pStyle w:val="Bibliography"/>
        <w:spacing w:lineRule="atLeast" w:line="280" w:before="0" w:after="0"/>
        <w:rPr/>
      </w:pPr>
      <w:r>
        <w:rPr/>
        <w:t>8) Millward-Hopkins J, Steinberger JK, Rao ND, Oswald Y. Providing decent living with minimum energy: A global scenario. Global Environmental Change. 2020 Nov;65:102168.</w:t>
      </w:r>
    </w:p>
    <w:p>
      <w:pPr>
        <w:pStyle w:val="Normal"/>
        <w:spacing w:lineRule="atLeast" w:line="280" w:before="0" w:after="0"/>
        <w:rPr/>
      </w:pPr>
      <w:r>
        <w:rPr/>
      </w:r>
    </w:p>
    <w:p>
      <w:pPr>
        <w:pStyle w:val="Normal"/>
        <w:spacing w:lineRule="atLeast" w:line="280" w:before="0" w:after="0"/>
        <w:rPr/>
      </w:pPr>
      <w:r>
        <w:rPr/>
        <w:t xml:space="preserve">9) European Commission. Communication on The European Green Deal [Internet]. European    Commission - European Commission. 2019 [cited 2020 Jul 6]. Available from:  </w:t>
      </w:r>
      <w:hyperlink r:id="rId2">
        <w:r>
          <w:rPr>
            <w:rStyle w:val="InternetLink"/>
          </w:rPr>
          <w:t>https://ec.europa.eu/info/publications/communication-european-green-deal_en</w:t>
        </w:r>
      </w:hyperlink>
    </w:p>
    <w:p>
      <w:pPr>
        <w:pStyle w:val="Normal"/>
        <w:spacing w:lineRule="atLeast" w:line="280" w:before="0" w:after="0"/>
        <w:rPr/>
      </w:pPr>
      <w:r>
        <w:rPr/>
      </w:r>
    </w:p>
    <w:p>
      <w:pPr>
        <w:pStyle w:val="Normal"/>
        <w:spacing w:lineRule="atLeast" w:line="280" w:before="0" w:after="0"/>
        <w:rPr/>
      </w:pPr>
      <w:r>
        <w:rPr/>
      </w:r>
    </w:p>
    <w:p>
      <w:pPr>
        <w:pStyle w:val="Bibliography"/>
        <w:rPr/>
      </w:pPr>
      <w:r>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paragraph" w:styleId="Heading3">
    <w:name w:val="Heading 3"/>
    <w:basedOn w:val="Normal"/>
    <w:next w:val="Normal"/>
    <w:qFormat/>
    <w:pPr>
      <w:keepNext/>
      <w:spacing w:lineRule="atLeast" w:line="300" w:before="120" w:after="120"/>
      <w:outlineLvl w:val="2"/>
    </w:pPr>
    <w:rPr>
      <w:b/>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rameContents">
    <w:name w:val="Frame Contents"/>
    <w:basedOn w:val="Normal"/>
    <w:qFormat/>
    <w:pPr/>
    <w:rPr/>
  </w:style>
  <w:style w:type="paragraph" w:styleId="Annotationtext">
    <w:name w:val="annotation text"/>
    <w:basedOn w:val="Normal"/>
    <w:qFormat/>
    <w:pPr>
      <w:spacing w:lineRule="auto" w:line="240"/>
    </w:pPr>
    <w:rPr>
      <w:sz w:val="20"/>
      <w:szCs w:val="20"/>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rPr>
  </w:style>
  <w:style w:type="paragraph" w:styleId="Bibliography">
    <w:name w:val="Bibliography"/>
    <w:basedOn w:val="Normal"/>
    <w:next w:val="Normal"/>
    <w:qFormat/>
    <w:pPr>
      <w:tabs>
        <w:tab w:val="left" w:pos="264" w:leader="none"/>
      </w:tabs>
      <w:spacing w:lineRule="auto" w:line="480" w:before="0" w:after="0"/>
      <w:ind w:left="264" w:hanging="26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c.europa.eu/info/publications/communication-european-green-deal_en"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109</TotalTime>
  <Application>LibreOffice/5.1.6.2$Linux_X86_64 LibreOffice_project/10m0$Build-2</Application>
  <Pages>2</Pages>
  <Words>707</Words>
  <Characters>4051</Characters>
  <CharactersWithSpaces>4743</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2021-02-17T11:02:29Z</dcterms:created>
  <dc:creator/>
  <dc:description/>
  <dc:language>en-US</dc:language>
  <cp:lastModifiedBy/>
  <dcterms:modified xsi:type="dcterms:W3CDTF">2021-02-24T13:03:21Z</dcterms:modified>
  <cp:revision>54</cp:revision>
  <dc:subject/>
  <dc:title/>
</cp:coreProperties>
</file>