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current publicly available EE-MRIOs do not decompose their final demand expenditure by income quantile. The underlying distribution of final demand expenditure and footprint across income groups is therefore hidden.</w:t>
      </w:r>
    </w:p>
    <w:p>
      <w:pPr>
        <w:pStyle w:val="BodyText"/>
      </w:pPr>
      <w:r>
        <w:t xml:space="preserve">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(4)</w:t>
      </w:r>
      <w:r>
        <w:t xml:space="preserve">, using a variety of R packages</w:t>
      </w:r>
      <w:r>
        <w:t xml:space="preserve"> </w:t>
      </w:r>
      <w:r>
        <w:t xml:space="preserve">(5)</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(21)</w:t>
      </w:r>
      <w:r>
        <w:t xml:space="preserve">. EXIOBASE publishes the A matrix, the final demand matrix, the satellite extensions matrix, and satellite extensions direct from final demand matrix. We use the industry-by-industry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(1)</w:t>
      </w:r>
      <w:r>
        <w:t xml:space="preserve"> </w:t>
      </w:r>
      <w:r>
        <w:t xml:space="preserve">describe the compilation of the energy extensions in EXIOBASE version3.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Mapping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mapping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have already been mapped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b/>
        </w:rPr>
        <w:t xml:space="preserve">Table S3: Calculation of EE-MRIO household footprint decomposed by income quintile, through multiplication of EE-MRIO household final demand expenditure per income quintile and sector by the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vector (TIV) calculated in the EE-MRIO (with only one</w:t>
      </w:r>
      <w:r>
        <w:rPr>
          <w:b/>
        </w:rPr>
        <w:t xml:space="preserve"> </w:t>
      </w:r>
      <w:r>
        <w:rPr>
          <w:b/>
        </w:rPr>
        <w:t xml:space="preserve">‘</w:t>
      </w:r>
      <w:r>
        <w:rPr>
          <w:b/>
        </w:rPr>
        <w:t xml:space="preserve">direct and indirect supply chain</w:t>
      </w:r>
      <w:r>
        <w:rPr>
          <w:b/>
        </w:rPr>
        <w:t xml:space="preserve">’</w:t>
      </w:r>
      <w:r>
        <w:rPr>
          <w:b/>
        </w:rPr>
        <w:t xml:space="preserve"> </w:t>
      </w:r>
      <w:r>
        <w:rPr>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5a317650670242e320f8b269c838ae48be4f85a"/>
      <w:r>
        <w:t xml:space="preserve">Mapping between EXIOBASE and EUROSTAT HBS</w:t>
      </w:r>
      <w:bookmarkEnd w:id="32"/>
    </w:p>
    <w:p>
      <w:pPr>
        <w:pStyle w:val="FirstParagraph"/>
      </w:pPr>
      <w:r>
        <w:t xml:space="preserve">Table S4 shows which EUROSTAT HBS consumption category we mapped each EXIOBASE production sector to, along with our grouping of the EXIOBASE production sectors into the five aggregated final consumption categories we present in the main paper. The direct energy and carbon from households were mapped to: heating/cooling (HH_HEAT) was mapped to CP045, mobility (HH_TRA) was mapped to CP072, and other (HH_OTHER) to CP05, respectively.</w:t>
      </w:r>
    </w:p>
    <w:p>
      <w:pPr>
        <w:pStyle w:val="BodyText"/>
      </w:pPr>
      <w:r>
        <w:rPr>
          <w:b/>
        </w:rPr>
        <w:t xml:space="preserve">Table S4: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b/>
        </w:rPr>
        <w:t xml:space="preserve">Table S5: Country and year coverage between EXIOBASE and the EUROSTAT HBS. Rows with black text show countries that are represented in EXIOBASE, and an</w:t>
      </w:r>
      <w:r>
        <w:rPr>
          <w:b/>
        </w:rPr>
        <w:t xml:space="preserve"> </w:t>
      </w:r>
      <w:r>
        <w:rPr>
          <w:b/>
        </w:rPr>
        <w:t xml:space="preserve">‘</w:t>
      </w:r>
      <w:r>
        <w:rPr>
          <w:b/>
        </w:rPr>
        <w:t xml:space="preserve">x</w:t>
      </w:r>
      <w:r>
        <w:rPr>
          <w:b/>
        </w:rPr>
        <w:t xml:space="preserve">’</w:t>
      </w:r>
      <w:r>
        <w:rPr>
          <w:b/>
        </w:rPr>
        <w:t xml:space="preserve"> </w:t>
      </w:r>
      <w:r>
        <w:rPr>
          <w:b/>
        </w:rPr>
        <w:t xml:space="preserve">for those years where EUROSTAT HBS data also exists for that country. Rows with red text show countries where EUROSTAT HBS data exists, but who are not represented individually in EXIOBASE (they are in</w:t>
      </w:r>
      <w:r>
        <w:rPr>
          <w:b/>
        </w:rPr>
        <w:t xml:space="preserve"> </w:t>
      </w:r>
      <w:r>
        <w:rPr>
          <w:b/>
        </w:rPr>
        <w:t xml:space="preserve">‘</w:t>
      </w:r>
      <w:r>
        <w:rPr>
          <w:b/>
        </w:rPr>
        <w:t xml:space="preserve">rest-of-world</w:t>
      </w:r>
      <w:r>
        <w:rPr>
          <w:b/>
        </w:rPr>
        <w:t xml:space="preserve">’</w:t>
      </w:r>
      <w:r>
        <w:rPr>
          <w:b/>
        </w:rPr>
        <w:t xml:space="preserve"> </w:t>
      </w:r>
      <w:r>
        <w:rPr>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b/>
        </w:rPr>
        <w:t xml:space="preserve">Table S7: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b/>
        </w:rPr>
        <w:t xml:space="preserve">Figure S1: Percentage of population in bottom 4 European expenditure deciles.</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b/>
        </w:rPr>
        <w:t xml:space="preserve">Table S10: Income quintile shares per sector in base price, with new</w:t>
      </w:r>
      <w:r>
        <w:rPr>
          <w:b/>
        </w:rPr>
        <w:t xml:space="preserve"> </w:t>
      </w:r>
      <w:r>
        <w:rPr>
          <w:b/>
        </w:rPr>
        <w:t xml:space="preserve">‘</w:t>
      </w:r>
      <w:r>
        <w:rPr>
          <w:b/>
        </w:rPr>
        <w:t xml:space="preserve">pps hh</w:t>
      </w:r>
      <w:r>
        <w:rPr>
          <w:b/>
        </w:rPr>
        <w:t xml:space="preserve">’</w:t>
      </w:r>
      <w:r>
        <w:rPr>
          <w:b/>
        </w:rPr>
        <w:t xml:space="preserve"> </w:t>
      </w:r>
      <w:r>
        <w:rPr>
          <w:b/>
        </w:rPr>
        <w:t xml:space="preserve">per income quintile in base price and new sectoral pm values in base price (</w:t>
      </w:r>
      <w:r>
        <w:rPr>
          <w:b/>
        </w:rPr>
        <w:t xml:space="preserve">‘</w:t>
      </w:r>
      <w:r>
        <w:rPr>
          <w:b/>
        </w:rPr>
        <w:t xml:space="preserve">pps hh bp</w:t>
      </w:r>
      <w:r>
        <w:rPr>
          <w:b/>
        </w:rPr>
        <w:t xml:space="preserve">’</w:t>
      </w:r>
      <w:r>
        <w:rPr>
          <w:b/>
        </w:rPr>
        <w:t xml:space="preserve"> </w:t>
      </w:r>
      <w:r>
        <w:rPr>
          <w:b/>
        </w:rPr>
        <w:t xml:space="preserve">is the sum of</w:t>
      </w:r>
      <w:r>
        <w:rPr>
          <w:b/>
        </w:rPr>
        <w:t xml:space="preserve"> </w:t>
      </w:r>
      <w:r>
        <w:rPr>
          <w:b/>
        </w:rPr>
        <w:t xml:space="preserve">‘</w:t>
      </w:r>
      <w:r>
        <w:rPr>
          <w:b/>
        </w:rPr>
        <w:t xml:space="preserve">s1 (pps hh bp)</w:t>
      </w:r>
      <w:r>
        <w:rPr>
          <w:b/>
        </w:rPr>
        <w:t xml:space="preserve">’</w:t>
      </w:r>
      <w:r>
        <w:rPr>
          <w:b/>
        </w:rPr>
        <w:t xml:space="preserve"> </w:t>
      </w:r>
      <w:r>
        <w:rPr>
          <w:b/>
        </w:rPr>
        <w:t xml:space="preserve">and</w:t>
      </w:r>
      <w:r>
        <w:rPr>
          <w:b/>
        </w:rPr>
        <w:t xml:space="preserve"> </w:t>
      </w:r>
      <w:r>
        <w:rPr>
          <w:b/>
        </w:rPr>
        <w:t xml:space="preserve">‘</w:t>
      </w:r>
      <w:r>
        <w:rPr>
          <w:b/>
        </w:rPr>
        <w:t xml:space="preserve">s2 (pps hh bp)</w:t>
      </w:r>
      <w:r>
        <w:rPr>
          <w:b/>
        </w:rPr>
        <w:t xml:space="preserve">’</w:t>
      </w:r>
      <w:r>
        <w:rPr>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BodyText"/>
      </w:pPr>
      <w:r>
        <w:rPr>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d75558b19c1f4ada8a7ee00925afcbe8652b35"/>
      <w:r>
        <w:t xml:space="preserve">2005 using main method, EXIOBASE industry-by-industry</w:t>
      </w:r>
      <w:bookmarkEnd w:id="41"/>
    </w:p>
    <w:p>
      <w:pPr>
        <w:pStyle w:val="FirstParagraph"/>
      </w:pPr>
      <w:r>
        <w:t xml:space="preserve">In 2005, total household final demand expenditure was 5.0359611 trn€, the energy footprint 102.7166548 EJ, and the carbon footprint 4365.748383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6d0fbaa5f45806da251547b50375281c1325abb"/>
      <w:r>
        <w:t xml:space="preserve">2010 using main method, EXIOBASE industry-by-industry</w:t>
      </w:r>
      <w:bookmarkEnd w:id="43"/>
    </w:p>
    <w:p>
      <w:pPr>
        <w:pStyle w:val="FirstParagraph"/>
      </w:pPr>
      <w:r>
        <w:t xml:space="preserve">In 2010, total household final demand expenditure was 5.6465553 trn€, the energy footprint 97.5739476 EJ, and the carbon footprint 4090.5716753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a524caf697d4adaad7fcac9faec7b6d79794f21"/>
      <w:r>
        <w:t xml:space="preserve">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94.6093687 EJ, and the carbon footprint 3957.4699872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b0ae8b1959b15b13866be8149136e915543cac5"/>
      <w:r>
        <w:t xml:space="preserve">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x-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b/>
        </w:rPr>
        <w:t xml:space="preserve">Figure S7: Mean energy available for Europe in decarbonisation scenarios, positioned in option space between a range of minimum energy requirements and range of associated maximum inequality. All expenditure deciles have</w:t>
      </w:r>
      <w:r>
        <w:rPr>
          <w:b/>
        </w:rPr>
        <w:t xml:space="preserve"> </w:t>
      </w:r>
      <w:r>
        <w:rPr>
          <w:b/>
        </w:rPr>
        <w:t xml:space="preserve">‘</w:t>
      </w:r>
      <w:r>
        <w:rPr>
          <w:b/>
        </w:rPr>
        <w:t xml:space="preserve">best technology</w:t>
      </w:r>
      <w:r>
        <w:rPr>
          <w:b/>
        </w:rPr>
        <w:t xml:space="preserve">’</w:t>
      </w:r>
      <w:r>
        <w:rPr>
          <w:b/>
        </w:rPr>
        <w:t xml:space="preserve"> </w:t>
      </w:r>
      <w:r>
        <w:rPr>
          <w:b/>
        </w:rPr>
        <w:t xml:space="preserve">already. Unit of analysis is household GJ per capita. Final energy (in household GJ per capita in 2050) from two more SSP scenarios (which do not necessarily hit the 1.5°C target) are added from the IIASA scenario database</w:t>
      </w:r>
      <w:r>
        <w:rPr>
          <w:b/>
        </w:rPr>
        <w:t xml:space="preserve"> </w:t>
      </w:r>
      <w:r>
        <w:rPr>
          <w:b/>
        </w:rPr>
        <w:t xml:space="preserve">(38)</w:t>
      </w:r>
      <w:r>
        <w:rPr>
          <w:b/>
        </w:rPr>
        <w:t xml:space="preserve"> </w:t>
      </w:r>
      <w:r>
        <w:rPr>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5"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2.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6"/>
    <w:bookmarkStart w:id="57" w:name="ref-eurostat_database_nodate"/>
    <w:p>
      <w:pPr>
        <w:pStyle w:val="Bibliography"/>
      </w:pPr>
      <w:r>
        <w:t xml:space="preserve">3.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7"/>
    <w:bookmarkStart w:id="59" w:name="ref-r_core_team_r:_2020"/>
    <w:p>
      <w:pPr>
        <w:pStyle w:val="Bibliography"/>
      </w:pPr>
      <w:r>
        <w:t xml:space="preserve">4.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5.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6.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7.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8.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9.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10.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11.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12.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13.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14.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15.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16.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17.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18.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19.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20.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21. Miller RE, Blair PD. Input-output analysis: Foundations and extensions. Englewood Cliffs, N.J: Prentice-Hall; 1985.</w:t>
      </w:r>
      <w:r>
        <w:t xml:space="preserve"> </w:t>
      </w:r>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2021-02-15T11:34:01Z</dcterms:created>
  <dcterms:modified xsi:type="dcterms:W3CDTF">2021-02-15T11:34:01Z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