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Our ‘services’ category includes the EXIOBASE production sector ‘real estate servic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 Our</w:t>
      </w:r>
      <w:r>
        <w:t xml:space="preserve"> </w:t>
      </w:r>
      <w:r>
        <w:t xml:space="preserve">‘</w:t>
      </w:r>
      <w:r>
        <w:t xml:space="preserve">services</w:t>
      </w:r>
      <w:r>
        <w:t xml:space="preserve">’</w:t>
      </w:r>
      <w:r>
        <w:t xml:space="preserve"> </w:t>
      </w:r>
      <w:r>
        <w:t xml:space="preserve">category includes the EXIOBASE production sector</w:t>
      </w:r>
      <w:r>
        <w:t xml:space="preserve"> </w:t>
      </w:r>
      <w:r>
        <w:t xml:space="preserve">‘</w:t>
      </w:r>
      <w:r>
        <w:t xml:space="preserve">real estate services</w:t>
      </w:r>
      <w:r>
        <w:t xml:space="preserve">’</w:t>
      </w:r>
      <w:r>
        <w:t xml:space="preserve">.</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2021-02-04 12:11:32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2021-02-04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[6b14771] 2021-02-04: edit fig.5</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2021-02-04T11:11:34Z</dcterms:created>
  <dcterms:modified xsi:type="dcterms:W3CDTF">2021-02-04T11:11:34Z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