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4.png" ContentType="image/png"/>
  <Override PartName="/word/media/rId36.png" ContentType="image/png"/>
  <Override PartName="/word/media/rId26.png" ContentType="image/png"/>
  <Override PartName="/word/media/rId29.png" ContentType="image/png"/>
  <Override PartName="/word/media/rId33.png" ContentType="image/png"/>
  <Override PartName="/word/media/rId25.pdf" ContentType="application/pdf"/>
  <Override PartName="/word/media/rId27.pdf" ContentType="application/pdf"/>
  <Override PartName="/word/media/rId30.pdf" ContentType="application/pdf"/>
  <Override PartName="/word/media/rId34.pdf" ContentType="application/pdf"/>
  <Override PartName="/word/media/rId37.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07</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Heading1"/>
      </w:pPr>
      <w:bookmarkStart w:id="20" w:name="introduction"/>
      <w:r>
        <w:t xml:space="preserve">Introduction</w:t>
      </w:r>
      <w:bookmarkEnd w:id="20"/>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 We first construct common European expenditure deciles based on national income stratified household expenditure data covering 30 European countries, further stratified by 5 consumption sectors. We then calculate average household GHG and energy footprints per European expenditure decile and consumption sector to explore the current structure of energy and carbon intensities across these categories. 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 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 Finally, we discuss implications for policy (GND, doughnut, carbon border adjustment mechanism for non-eu emissions).</w:t>
      </w:r>
    </w:p>
    <w:p>
      <w:pPr>
        <w:pStyle w:val="Heading1"/>
      </w:pPr>
      <w:bookmarkStart w:id="21" w:name="materials-and-methods"/>
      <w:r>
        <w:t xml:space="preserve">Materials and methods</w:t>
      </w:r>
      <w:bookmarkEnd w:id="21"/>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(PPS) euro) and the structure of consumption expenditure by income quintile and COICOP consumption category. We mapped the EXIOBASE sectors to one of the COICOP consumption categories (our mapping can be found in the SI),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The energy footprint is the gross total energy use energy extension in EXIOBASE, which converts final energy consumption in the IEA energy balance data from the territorial to residence principle following SEEA energy accounting (ref - Stadler et al.). The carbon footprint includes CO2, CH4, N2O, SF6, HFCs and PFCs, from combustion, non-combustion, agriculture and waste, but not land-use change. For both footprints, direct energy use and carbon emissions from households is included, with the total split between shelter, transport and manufactured goods using further data from EUROSTAT on this split.</w:t>
      </w:r>
    </w:p>
    <w:p>
      <w:pPr>
        <w:pStyle w:val="BodyText"/>
      </w:pPr>
      <w:r>
        <w:t xml:space="preserve">Finally, we aggregated the data of 30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data from 2005 to 2015 are included, which excludes Italy and Luxembourg, but includes the UK, Norway and Turkey. We use households normalized by adult equivalent unit as the unit of analysis, following the EUROSTAT HBS. The adult equivalent units from EUROSTAT adjust for household size in different countries and income groups. As inequality measure through the study, we divide the average value of the population in the top decile by that of the bottom decile, a 10:10 ratio. For example, in expenditure, a 10:10 ratio of 5 means that adult equivalent units in the top decile spend 5 times more on average than those in the bottom decile. The data and procedures are described in detail in the supplementary information (SI).</w:t>
      </w:r>
    </w:p>
    <w:p>
      <w:pPr>
        <w:pStyle w:val="Heading1"/>
      </w:pPr>
      <w:bookmarkStart w:id="22" w:name="results"/>
      <w:r>
        <w:t xml:space="preserve">Results</w:t>
      </w:r>
      <w:bookmarkEnd w:id="22"/>
    </w:p>
    <w:p>
      <w:pPr>
        <w:pStyle w:val="Heading2"/>
      </w:pPr>
      <w:bookmarkStart w:id="23" w:name="X26300b2b5605988fcaa0fef1c2d3a9c6379bd1b"/>
      <w:r>
        <w:t xml:space="preserve">Resource footprints are less unequal than expenditure levels</w:t>
      </w:r>
      <w:bookmarkEnd w:id="23"/>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4"/>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5"/>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6"/>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7"/>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28" w:name="Xa5ec6b06a9f98c59372e9d5ceb51319bf0d5548"/>
      <w:r>
        <w:t xml:space="preserve">Inequality across final consumption sectors</w:t>
      </w:r>
      <w:bookmarkEnd w:id="28"/>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29"/>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0"/>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1" w:name="counterfactual-a-1.5c-compatible-europe"/>
      <w:r>
        <w:t xml:space="preserve">Counterfactual: a 1.5°C compatible Europe</w:t>
      </w:r>
      <w:bookmarkEnd w:id="31"/>
    </w:p>
    <w:p>
      <w:pPr>
        <w:pStyle w:val="FirstParagraph"/>
      </w:pPr>
      <w:r>
        <w:t xml:space="preserve">In order to assess the level of inequality in energy footprints that is compatible with global 1.5°C scenarios we take two steps:</w:t>
      </w:r>
    </w:p>
    <w:p>
      <w:pPr>
        <w:numPr>
          <w:numId w:val="1001"/>
          <w:ilvl w:val="0"/>
        </w:numPr>
      </w:pPr>
      <w:r>
        <w:t xml:space="preserve">We apply a per sector current empirical best technology transformation to all consumption across Europe and assess the energy (and emissions savings) from for expenditure deciles and countries</w:t>
      </w:r>
    </w:p>
    <w:p>
      <w:pPr>
        <w:numPr>
          <w:numId w:val="1001"/>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2" w:name="X2dd794aa03f2c63ef4370bbc84e8c987b3f3651"/>
      <w:r>
        <w:t xml:space="preserve">Current empirical best technology per sector</w:t>
      </w:r>
      <w:bookmarkEnd w:id="32"/>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3"/>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4"/>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2"/>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2"/>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2"/>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5" w:name="inequality-in-a-1.5c-compatible-europe"/>
      <w:r>
        <w:t xml:space="preserve">Inequality in a 1.5°C compatible Europe</w:t>
      </w:r>
      <w:bookmarkEnd w:id="35"/>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10-1.png" id="0" name="Picture"/>
                    <pic:cNvPicPr>
                      <a:picLocks noChangeArrowheads="1" noChangeAspect="1"/>
                    </pic:cNvPicPr>
                  </pic:nvPicPr>
                  <pic:blipFill>
                    <a:blip r:embed="rId36"/>
                    <a:stretch>
                      <a:fillRect/>
                    </a:stretch>
                  </pic:blipFill>
                  <pic:spPr bwMode="auto">
                    <a:xfrm>
                      <a:off x="0" y="0"/>
                      <a:ext cx="5943600" cy="4669971"/>
                    </a:xfrm>
                    <a:prstGeom prst="rect">
                      <a:avLst/>
                    </a:prstGeom>
                    <a:noFill/>
                    <a:ln w="9525">
                      <a:noFill/>
                      <a:headEnd/>
                      <a:tailEnd/>
                    </a:ln>
                  </pic:spPr>
                </pic:pic>
              </a:graphicData>
            </a:graphic>
          </wp:inline>
        </w:drawing>
      </w:r>
    </w:p>
    <w:p>
      <w:pPr>
        <w:numPr>
          <w:numId w:val="1003"/>
          <w:ilvl w:val="0"/>
        </w:numPr>
      </w:pPr>
      <w:r>
        <w:t xml:space="preserve">We introduce the main global 1.5°C compatible scenarios with their energy supply and their assumptions for minimal energy demand for a decent life (maybe table).</w:t>
      </w:r>
    </w:p>
    <w:p>
      <w:pPr>
        <w:numPr>
          <w:numId w:val="1003"/>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3"/>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7"/>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8" w:name="discussion"/>
      <w:r>
        <w:t xml:space="preserve">Discussion</w:t>
      </w:r>
      <w:bookmarkEnd w:id="38"/>
    </w:p>
    <w:p>
      <w:pPr>
        <w:pStyle w:val="Heading1"/>
      </w:pPr>
      <w:bookmarkStart w:id="39" w:name="conclusion"/>
      <w:r>
        <w:t xml:space="preserve">Conclusion</w:t>
      </w:r>
      <w:bookmarkEnd w:id="39"/>
    </w:p>
    <w:p>
      <w:pPr>
        <w:pStyle w:val="Heading1"/>
      </w:pPr>
      <w:bookmarkStart w:id="40" w:name="acknowledgements"/>
      <w:r>
        <w:t xml:space="preserve">Acknowledgements</w:t>
      </w:r>
      <w:bookmarkEnd w:id="40"/>
    </w:p>
    <w:p>
      <w:r>
        <w:br w:type="page"/>
      </w:r>
    </w:p>
    <w:p>
      <w:pPr>
        <w:pStyle w:val="Heading1"/>
      </w:pPr>
      <w:bookmarkStart w:id="41" w:name="references"/>
      <w:r>
        <w:t xml:space="preserve">References</w:t>
      </w:r>
      <w:bookmarkEnd w:id="41"/>
    </w:p>
    <w:bookmarkStart w:id="54" w:name="refs"/>
    <w:bookmarkStart w:id="43"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2">
        <w:r>
          <w:rPr>
            <w:rStyle w:val="Hyperlink"/>
          </w:rPr>
          <w:t xml:space="preserve">https://doi.org/10.1038/s41558-018-0121-1</w:t>
        </w:r>
      </w:hyperlink>
    </w:p>
    <w:bookmarkEnd w:id="43"/>
    <w:bookmarkStart w:id="45"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4">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5"/>
    <w:bookmarkStart w:id="47"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6">
        <w:r>
          <w:rPr>
            <w:rStyle w:val="Hyperlink"/>
          </w:rPr>
          <w:t xml:space="preserve">https://doi.org/10.1088/1748-9326/ab8589</w:t>
        </w:r>
      </w:hyperlink>
    </w:p>
    <w:bookmarkEnd w:id="47"/>
    <w:bookmarkStart w:id="49"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8">
        <w:r>
          <w:rPr>
            <w:rStyle w:val="Hyperlink"/>
          </w:rPr>
          <w:t xml:space="preserve">https://doi.org/10.1088/1748-9326/aa6da9</w:t>
        </w:r>
      </w:hyperlink>
    </w:p>
    <w:bookmarkEnd w:id="49"/>
    <w:bookmarkStart w:id="51"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0">
        <w:r>
          <w:rPr>
            <w:rStyle w:val="Hyperlink"/>
          </w:rPr>
          <w:t xml:space="preserve">https://doi.org/10.1016/j.gloenvcha.2020.102168</w:t>
        </w:r>
      </w:hyperlink>
    </w:p>
    <w:bookmarkEnd w:id="51"/>
    <w:bookmarkStart w:id="53"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2">
        <w:r>
          <w:rPr>
            <w:rStyle w:val="Hyperlink"/>
          </w:rPr>
          <w:t xml:space="preserve">https://doi.org/10.1038/s41560-020-0579-8</w:t>
        </w:r>
      </w:hyperlink>
    </w:p>
    <w:bookmarkEnd w:id="53"/>
    <w:bookmarkEnd w:id="54"/>
    <w:p>
      <w:r>
        <w:br w:type="page"/>
      </w:r>
    </w:p>
    <w:p>
      <w:pPr>
        <w:pStyle w:val="Heading3"/>
      </w:pPr>
      <w:bookmarkStart w:id="55" w:name="colophon"/>
      <w:r>
        <w:t xml:space="preserve">Colophon</w:t>
      </w:r>
      <w:bookmarkEnd w:id="55"/>
    </w:p>
    <w:p>
      <w:pPr>
        <w:pStyle w:val="FirstParagraph"/>
      </w:pPr>
      <w:r>
        <w:t xml:space="preserve">This report was generated on 2020-12-07 15:07:54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2020-12-07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[e21b2a8] 2020-12-07: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1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1"/>
  </w:num>
  <w:num w:numId="1003">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4" Target="media/rId24.png" /><Relationship Type="http://schemas.openxmlformats.org/officeDocument/2006/relationships/image" Id="rId36" Target="media/rId36.pn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3" Target="media/rId33.png" /><Relationship Type="http://schemas.openxmlformats.org/officeDocument/2006/relationships/image" Id="rId25" Target="media/rId25.pdf" /><Relationship Type="http://schemas.openxmlformats.org/officeDocument/2006/relationships/image" Id="rId27" Target="media/rId27.pdf" /><Relationship Type="http://schemas.openxmlformats.org/officeDocument/2006/relationships/image" Id="rId30" Target="media/rId30.pdf" /><Relationship Type="http://schemas.openxmlformats.org/officeDocument/2006/relationships/image" Id="rId34" Target="media/rId34.pdf" /><Relationship Type="http://schemas.openxmlformats.org/officeDocument/2006/relationships/image" Id="rId37" Target="media/rId37.pdf" /><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0" Target="https://doi.org/10.1016/j.gloenvcha.2020.102168" TargetMode="External" /><Relationship Type="http://schemas.openxmlformats.org/officeDocument/2006/relationships/hyperlink" Id="rId42" Target="https://doi.org/10.1038/s41558-018-0121-1" TargetMode="External" /><Relationship Type="http://schemas.openxmlformats.org/officeDocument/2006/relationships/hyperlink" Id="rId52" Target="https://doi.org/10.1038/s41560-020-0579-8" TargetMode="External" /><Relationship Type="http://schemas.openxmlformats.org/officeDocument/2006/relationships/hyperlink" Id="rId48" Target="https://doi.org/10.1088/1748-9326/aa6da9" TargetMode="External" /><Relationship Type="http://schemas.openxmlformats.org/officeDocument/2006/relationships/hyperlink" Id="rId46" Target="https://doi.org/10.1088/1748-9326/ab8589" TargetMode="External" /><Relationship Type="http://schemas.openxmlformats.org/officeDocument/2006/relationships/hyperlink" Id="rId44"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2020-12-07T14:07:58Z</dcterms:created>
  <dcterms:modified xsi:type="dcterms:W3CDTF">2020-12-07T14:07:58Z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07 Dezember, 2020</vt:lpwstr>
  </property>
  <property fmtid="{D5CDD505-2E9C-101B-9397-08002B2CF9AE}" pid="6" name="highlights">
    <vt:lpwstr>These are the highlights.</vt:lpwstr>
  </property>
  <property fmtid="{D5CDD505-2E9C-101B-9397-08002B2CF9AE}" pid="7" name="output">
    <vt:lpwstr/>
  </property>
</Properties>
</file>