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stratify their final demand expenditure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1"/>
          <w:ilvl w:val="0"/>
        </w:numPr>
      </w:pPr>
      <w:r>
        <w:t xml:space="preserve">EE-MRIO: EXIOBASE version3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(1)</w:t>
      </w:r>
      <w:r>
        <w:t xml:space="preserve"> </w:t>
      </w:r>
      <w:r>
        <w:t xml:space="preserve">(2)</w:t>
      </w:r>
    </w:p>
    <w:p>
      <w:pPr>
        <w:numPr>
          <w:numId w:val="1001"/>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stratified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bfbd531a14099eb2827f97ea2991c0935e43b23"/>
      <w:r>
        <w:t xml:space="preserve">Correspondence between EXIOBASE and EUROSTAT HBS</w:t>
      </w:r>
      <w:bookmarkEnd w:id="32"/>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direct energy and carbon from households correspond to: heating/cooling (HH_HEAT) to CP045, mobility (HH_TRA) to CP072, and other (HH_OTHER) to CP05, respectively.</w:t>
      </w:r>
    </w:p>
    <w:p>
      <w:pPr>
        <w:pStyle w:val="BodyText"/>
      </w:pPr>
      <w:r>
        <w:rPr>
          <w:b/>
        </w:rPr>
        <w:t xml:space="preserve">Table S4: Correspondence between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b/>
        </w:rPr>
        <w:t xml:space="preserve">Figure S1: Percentage of population in bottom 4 European expenditure deciles.</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x-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7: Mean energy available for Europe in decarbonisation scenarios, positioned in option space between a range of minimum energy requirements and range of associated maximum inequality. All expenditure deciles have ‘best technology’ already. Unit of analysis is household GJ per capita. Final energy (in household GJ per capita in 2050) from two more SSP scenarios (which do not necessarily hit the 1.5°C target) are added from the IIASA scenario database (38) for comparison: SSP3-3.4 (MESSAGE-GLOBIOM, OECD), SSP4-1.9 (WITCH-GLOBIOM, OECD)."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S7: Mean energy available for Europe in decarbonisation scenarios, positioned in option space between a range of minimum energy requirements and range of associated maximum inequality. All expenditure deciles have</w:t>
      </w:r>
      <w:r>
        <w:rPr>
          <w:b/>
        </w:rPr>
        <w:t xml:space="preserve"> </w:t>
      </w:r>
      <w:r>
        <w:rPr>
          <w:b/>
        </w:rPr>
        <w:t xml:space="preserve">‘</w:t>
      </w:r>
      <w:r>
        <w:rPr>
          <w:b/>
        </w:rPr>
        <w:t xml:space="preserve">best technology</w:t>
      </w:r>
      <w:r>
        <w:rPr>
          <w:b/>
        </w:rPr>
        <w:t xml:space="preserve">’</w:t>
      </w:r>
      <w:r>
        <w:rPr>
          <w:b/>
        </w:rPr>
        <w:t xml:space="preserve"> </w:t>
      </w:r>
      <w:r>
        <w:rPr>
          <w:b/>
        </w:rPr>
        <w:t xml:space="preserve">already. Unit of analysis is household GJ per capita. Final energy (in household GJ per capita in 2050) from two more SSP scenarios (which do not necessarily hit the 1.5°C target) are added from the IIASA scenario database</w:t>
      </w:r>
      <w:r>
        <w:rPr>
          <w:b/>
        </w:rPr>
        <w:t xml:space="preserve"> </w:t>
      </w:r>
      <w:r>
        <w:rPr>
          <w:b/>
        </w:rPr>
        <w:t xml:space="preserve">(38)</w:t>
      </w:r>
      <w:r>
        <w:rPr>
          <w:b/>
        </w:rPr>
        <w:t xml:space="preserve"> </w:t>
      </w:r>
      <w:r>
        <w:rPr>
          <w:b/>
        </w:rPr>
        <w:t xml:space="preserve">for comparison: SSP3-3.4 (MESSAGE-GLOBIOM, OECD), SSP4-1.9 (WITCH-GLOBIOM, OECD).</w:t>
      </w:r>
    </w:p>
    <w:p>
      <w:r>
        <w:br w:type="page"/>
      </w:r>
    </w:p>
    <w:p>
      <w:pPr>
        <w:pStyle w:val="Heading1"/>
      </w:pPr>
      <w:bookmarkStart w:id="53" w:name="references"/>
      <w:r>
        <w:t xml:space="preserve">References</w:t>
      </w:r>
      <w:bookmarkEnd w:id="53"/>
    </w:p>
    <w:bookmarkStart w:id="126" w:name="refs"/>
    <w:bookmarkStart w:id="55"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4">
        <w:r>
          <w:rPr>
            <w:rStyle w:val="Hyperlink"/>
          </w:rPr>
          <w:t xml:space="preserve">https://onlinelibrary.wiley.com/doi/abs/10.1111/jiec.12715</w:t>
        </w:r>
      </w:hyperlink>
    </w:p>
    <w:bookmarkEnd w:id="55"/>
    <w:bookmarkStart w:id="56" w:name="ref-stadler_exiobase_2019"/>
    <w:p>
      <w:pPr>
        <w:pStyle w:val="Bibliography"/>
      </w:pPr>
      <w:r>
        <w:t xml:space="preserve">2.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6"/>
    <w:bookmarkStart w:id="57" w:name="ref-eurostat_database_nodate"/>
    <w:p>
      <w:pPr>
        <w:pStyle w:val="Bibliography"/>
      </w:pPr>
      <w:r>
        <w:t xml:space="preserve">3.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7.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9.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10.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12.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13.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14.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15.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19.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iller_input-output_1985"/>
    <w:p>
      <w:pPr>
        <w:pStyle w:val="Bibliography"/>
      </w:pPr>
      <w:r>
        <w:t xml:space="preserve">21. Miller RE, Blair PD. Input-output analysis: Foundations and extensions. Englewood Cliffs, N.J: Prentice-Hall; 1985.</w:t>
      </w:r>
      <w:r>
        <w:t xml:space="preserve"> </w:t>
      </w:r>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2021-02-17T16:32:16Z</dcterms:created>
  <dcterms:modified xsi:type="dcterms:W3CDTF">2021-02-17T16:32:16Z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