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38.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formula-for-adjusting-distribution">
        <w:r>
          <w:rPr>
            <w:rStyle w:val="Hyperlink"/>
          </w:rPr>
          <w:t xml:space="preserve">Formula for adjusting distribution</w:t>
        </w:r>
      </w:hyperlink>
    </w:p>
    <w:p>
      <w:pPr>
        <w:pStyle w:val="Compact"/>
        <w:numPr>
          <w:numId w:val="1001"/>
          <w:ilvl w:val="0"/>
        </w:numPr>
      </w:pPr>
      <w:hyperlink w:anchor="supplementary-references">
        <w:r>
          <w:rPr>
            <w:rStyle w:val="Hyperlink"/>
          </w:rPr>
          <w:t xml:space="preserve">Supplementary 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 All data, relevant tables, and R code are available at:</w:t>
      </w:r>
      <w:r>
        <w:t xml:space="preserve"> </w:t>
      </w:r>
      <w:hyperlink r:id="rId21">
        <w:r>
          <w:rPr>
            <w:rStyle w:val="Hyperlink"/>
          </w:rPr>
          <w:t xml:space="preserve">https://gitlab.pik-potsdam.de/pichler/europe.inequality</w:t>
        </w:r>
      </w:hyperlink>
      <w:r>
        <w:t xml:space="preserve">.</w:t>
      </w:r>
    </w:p>
    <w:p>
      <w:pPr>
        <w:pStyle w:val="Heading2"/>
      </w:pPr>
      <w:bookmarkStart w:id="22" w:name="Xbe52612aa2a08d9191ee3670ef3da1063ab3590"/>
      <w:r>
        <w:t xml:space="preserve">Income-stratified national household energy and carbon footprints</w:t>
      </w:r>
      <w:bookmarkEnd w:id="22"/>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3">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4">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5" w:name="exiobase"/>
      <w:r>
        <w:t xml:space="preserve">EXIOBASE</w:t>
      </w:r>
      <w:bookmarkEnd w:id="25"/>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6" w:name="environmental-extensions"/>
      <w:r>
        <w:t xml:space="preserve">Environmental extensions</w:t>
      </w:r>
      <w:bookmarkEnd w:id="26"/>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7" w:name="X02a4e6e6afb08f4eea7f3cf6b179b994a11a010"/>
      <w:r>
        <w:t xml:space="preserve">Environmental extensions direct from households</w:t>
      </w:r>
      <w:bookmarkEnd w:id="27"/>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8">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9">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30" w:name="eurostat-hbs"/>
      <w:r>
        <w:t xml:space="preserve">EUROSTAT HBS</w:t>
      </w:r>
      <w:bookmarkEnd w:id="30"/>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1">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2" w:name="method-for-main-paper-results"/>
      <w:r>
        <w:t xml:space="preserve">Method for main paper results</w:t>
      </w:r>
      <w:bookmarkEnd w:id="32"/>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3" w:name="Xbfbd531a14099eb2827f97ea2991c0935e43b23"/>
      <w:r>
        <w:t xml:space="preserve">Correspondence between EXIOBASE and EUROSTAT HBS</w:t>
      </w:r>
      <w:bookmarkEnd w:id="33"/>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aggregated final consumption categories of</w:t>
      </w:r>
      <w:r>
        <w:t xml:space="preserve"> </w:t>
      </w:r>
      <w:r>
        <w:t xml:space="preserve">‘</w:t>
      </w:r>
      <w:r>
        <w:t xml:space="preserve">goods</w:t>
      </w:r>
      <w:r>
        <w:t xml:space="preserve">’</w:t>
      </w:r>
      <w:r>
        <w:t xml:space="preserve"> </w:t>
      </w:r>
      <w:r>
        <w:t xml:space="preserve">and</w:t>
      </w:r>
      <w:r>
        <w:t xml:space="preserve"> </w:t>
      </w:r>
      <w:r>
        <w:t xml:space="preserve">‘</w:t>
      </w:r>
      <w:r>
        <w:t xml:space="preserve">services</w:t>
      </w:r>
      <w:r>
        <w:t xml:space="preserve">’</w:t>
      </w:r>
      <w:r>
        <w:t xml:space="preserve"> </w:t>
      </w:r>
      <w:r>
        <w:t xml:space="preserve">refer to other material goods and other services that are not included in the three aggregated categories of food, housing and mobility.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 The .csv file of the correspondence table we use can be found at</w:t>
      </w:r>
      <w:r>
        <w:rPr>
          <w:i/>
          <w:b/>
        </w:rPr>
        <w:t xml:space="preserve"> </w:t>
      </w:r>
      <w:hyperlink r:id="rId34">
        <w:r>
          <w:rPr>
            <w:rStyle w:val="Hyperlink"/>
            <w:i/>
            <w:b/>
          </w:rPr>
          <w:t xml:space="preserve">correspondence table</w:t>
        </w:r>
      </w:hyperlink>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5" w:name="country-and-year-coverage"/>
      <w:r>
        <w:t xml:space="preserve">Country and year coverage</w:t>
      </w:r>
      <w:bookmarkEnd w:id="35"/>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6" w:name="purchaser-price-versus-base-price"/>
      <w:r>
        <w:t xml:space="preserve">Purchaser price versus base price</w:t>
      </w:r>
      <w:bookmarkEnd w:id="36"/>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7" w:name="european-household-expenditure-deciles"/>
      <w:r>
        <w:t xml:space="preserve">European household expenditure deciles</w:t>
      </w:r>
      <w:bookmarkEnd w:id="37"/>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8"/>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9" w:name="limitations"/>
      <w:r>
        <w:t xml:space="preserve">Limitations</w:t>
      </w:r>
      <w:bookmarkEnd w:id="39"/>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use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40" w:name="Xc9cc011df3901412df578718cd85618f03e30b3"/>
      <w:r>
        <w:t xml:space="preserve">Alternative method for income-stratified national household energy and carbon footprints</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use,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3" w:name="X8ab64a1c4293e2b6cca0857d4ded26fd043ee47"/>
      <w:r>
        <w:t xml:space="preserve">Year 2005, using main method, EXIOBASE industry-by-industry</w:t>
      </w:r>
      <w:bookmarkEnd w:id="43"/>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5d9efcd36e4367972a52fe6015f056da2f63880"/>
      <w:r>
        <w:t xml:space="preserve">Year 2010, using main method, EXIOBASE industry-by-industry</w:t>
      </w:r>
      <w:bookmarkEnd w:id="45"/>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887914c40d3a64d6bed53f1a003de54650ba309"/>
      <w:r>
        <w:t xml:space="preserve">Year 2010, using main method, EXIOBASE product-by-product</w:t>
      </w:r>
      <w:bookmarkEnd w:id="47"/>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9" w:name="X0b073eea84b9d44b8e1ae7d47bb00d31b889183"/>
      <w:r>
        <w:t xml:space="preserve">Year 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51" w:name="units-of-analysis"/>
      <w:r>
        <w:t xml:space="preserve">Units of analysis</w:t>
      </w:r>
      <w:bookmarkEnd w:id="51"/>
    </w:p>
    <w:p>
      <w:pPr>
        <w:pStyle w:val="FirstParagraph"/>
      </w:pPr>
      <w:r>
        <w:t xml:space="preserve">Through the main paper we use household per adult equivalent as our unit of analysis, following the EUROSTAT HBS. This meant that we converted decarbonisation scenario final energy numbers from total per capita to household per adult equivalent to better compare them with our environmental footprint estimates. We converted them using 1) the household share of the total footprint, and 2) the adult equivalent share of the total population.</w:t>
      </w:r>
    </w:p>
    <w:p>
      <w:pPr>
        <w:pStyle w:val="BodyText"/>
      </w:pPr>
      <w:r>
        <w:t xml:space="preserve">As a numerical example, we convert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converted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converted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3" w:name="Xf329215321af9ee65f150ab66003812d0079232"/>
      <w:r>
        <w:t xml:space="preserve">Figure 5 from main paper in household final energy per capita</w:t>
      </w:r>
      <w:bookmarkEnd w:id="53"/>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convert the decarbonisation scenario final energy numbers from total GJ per capita to household GJ per capita, so, for example, 53 total GJ/capita becomes: 53 * 0.63 = 33 household GJ/capita.</w:t>
      </w:r>
    </w:p>
    <w:p>
      <w:pPr>
        <w:pStyle w:val="CaptionedFigure"/>
      </w:pPr>
      <w:r>
        <w:drawing>
          <wp:inline>
            <wp:extent cx="5943600" cy="2971800"/>
            <wp:effectExtent b="0" l="0" r="0" t="0"/>
            <wp:docPr descr="Figure S7: Maximum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 ‘best technology’ already. All values are in household GJ/capita, meaning the original total GJ/capita values from each scenario were multiplied by 0.63. For further comparison, we added three more SSP scenarios to the figure which don’t necessarily achieve the 1.5°C target (SSP3-3.4, SSP4-1.9, SSP5-6.0) (38). The original total GJ/capita values for these three scenarios were: 144 GJ/capita (SSP3-3.4), 104 GJ/capita (SSP4-1.9), 151 GJ/capita (SSP5-6.0) (38)." title="" id="1" name="Picture"/>
            <a:graphic>
              <a:graphicData uri="http://schemas.openxmlformats.org/drawingml/2006/picture">
                <pic:pic>
                  <pic:nvPicPr>
                    <pic:cNvPr descr="../figures/unnamed-chunk-7-1.png" id="0" name="Picture"/>
                    <pic:cNvPicPr>
                      <a:picLocks noChangeArrowheads="1" noChangeAspect="1"/>
                    </pic:cNvPicPr>
                  </pic:nvPicPr>
                  <pic:blipFill>
                    <a:blip r:embed="rId54"/>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S7: Maximum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All values are in household GJ/capita, meaning the original total GJ/capita values from each scenario were multiplied by 0.63. For further comparison, we added three more SSP scenarios to the figure which don’t necessarily achieve the 1.5°C target (SSP3-3.4, SSP4-1.9, SSP5-6.0)</w:t>
      </w:r>
      <w:r>
        <w:rPr>
          <w:i/>
          <w:b/>
        </w:rPr>
        <w:t xml:space="preserve"> </w:t>
      </w:r>
      <w:r>
        <w:rPr>
          <w:i/>
          <w:b/>
        </w:rPr>
        <w:t xml:space="preserve">(38)</w:t>
      </w:r>
      <w:r>
        <w:rPr>
          <w:i/>
          <w:b/>
        </w:rPr>
        <w:t xml:space="preserve">. The original total GJ/capita values for these three scenarios were: 144 GJ/capita (SSP3-3.4), 104 GJ/capita (SSP4-1.9), 151 GJ/capita (SSP5-6.0)</w:t>
      </w:r>
      <w:r>
        <w:rPr>
          <w:i/>
          <w:b/>
        </w:rPr>
        <w:t xml:space="preserve"> </w:t>
      </w:r>
      <w:r>
        <w:rPr>
          <w:i/>
          <w:b/>
        </w:rPr>
        <w:t xml:space="preserve">(38)</w:t>
      </w:r>
      <w:r>
        <w:rPr>
          <w:i/>
          <w:b/>
        </w:rPr>
        <w:t xml:space="preserve">.</w:t>
      </w:r>
    </w:p>
    <w:p>
      <w:pPr>
        <w:pStyle w:val="Heading1"/>
      </w:pPr>
      <w:bookmarkStart w:id="55" w:name="formula-for-adjusting-distribution"/>
      <w:r>
        <w:t xml:space="preserve">Formula for adjusting distribution</w:t>
      </w:r>
      <w:bookmarkEnd w:id="55"/>
    </w:p>
    <w:p>
      <w:pPr>
        <w:pStyle w:val="FirstParagraph"/>
      </w:pPr>
      <w:r>
        <w:t xml:space="preserve">The formula for adjusting the distribution to achieve both a given mean energy supply target from a decarbonisation scenario, and a minimum energy use target, as is done for Figure 5 in the main paper, and Figure S7 above, is:</w:t>
      </w:r>
    </w:p>
    <w:p>
      <w:pPr>
        <w:pStyle w:val="BodyText"/>
      </w:pPr>
      <m:oMathPara>
        <m:oMathParaPr>
          <m:jc m:val="center"/>
        </m:oMathParaPr>
        <m:oMath>
          <m:r>
            <m:t>x</m:t>
          </m:r>
          <m:r>
            <m:t>−</m:t>
          </m:r>
          <m:r>
            <m:t>(</m:t>
          </m:r>
          <m:r>
            <m:t>x</m:t>
          </m:r>
          <m:r>
            <m:t>−</m:t>
          </m:r>
          <m:r>
            <m:t>(</m:t>
          </m:r>
          <m:sSub>
            <m:e>
              <m:r>
                <m:t>d</m:t>
              </m:r>
            </m:e>
            <m:sub>
              <m:r>
                <m:t>1</m:t>
              </m:r>
            </m:sub>
          </m:sSub>
          <m:r>
            <m:t>.</m:t>
          </m:r>
          <m:r>
            <m:t>.</m:t>
          </m:r>
          <m:r>
            <m:t>.</m:t>
          </m:r>
          <m:sSub>
            <m:e>
              <m:r>
                <m:t>d</m:t>
              </m:r>
            </m:e>
            <m:sub>
              <m:r>
                <m:t>10</m:t>
              </m:r>
            </m:sub>
          </m:sSub>
          <m:r>
            <m:t>)</m:t>
          </m:r>
          <m:r>
            <m:t>)</m:t>
          </m:r>
          <m:r>
            <m:t>*</m:t>
          </m:r>
          <m:r>
            <m:t>(</m:t>
          </m:r>
          <m:r>
            <m:t>x</m:t>
          </m:r>
          <m:r>
            <m:t>−</m:t>
          </m:r>
          <m:r>
            <m:t>y</m:t>
          </m:r>
          <m:r>
            <m:t>)</m:t>
          </m:r>
          <m:r>
            <m:t>/</m:t>
          </m:r>
          <m:r>
            <m:t>(</m:t>
          </m:r>
          <m:r>
            <m:t>x</m:t>
          </m:r>
          <m:r>
            <m:t>−</m:t>
          </m:r>
          <m:sSub>
            <m:e>
              <m:r>
                <m:t>d</m:t>
              </m:r>
            </m:e>
            <m:sub>
              <m:r>
                <m:t>1</m:t>
              </m:r>
            </m:sub>
          </m:sSub>
          <m:r>
            <m:t>)</m:t>
          </m:r>
        </m:oMath>
      </m:oMathPara>
    </w:p>
    <w:p>
      <w:pPr>
        <w:pStyle w:val="FirstParagraph"/>
      </w:pPr>
      <w:r>
        <w:t xml:space="preserve">where</w:t>
      </w:r>
      <w:r>
        <w:t xml:space="preserve"> </w:t>
      </w:r>
      <m:oMath>
        <m:r>
          <m:t>x</m:t>
        </m:r>
      </m:oMath>
      <w:r>
        <w:t xml:space="preserve"> </w:t>
      </w:r>
      <w:r>
        <w:t xml:space="preserve">is the mean energy supply target,</w:t>
      </w:r>
      <w:r>
        <w:t xml:space="preserve"> </w:t>
      </w:r>
      <m:oMath>
        <m:r>
          <m:t>y</m:t>
        </m:r>
      </m:oMath>
      <w:r>
        <w:t xml:space="preserve"> </w:t>
      </w:r>
      <w:r>
        <w:t xml:space="preserve">is the minimum energy use target, and</w:t>
      </w:r>
      <w:r>
        <w:t xml:space="preserve"> </w:t>
      </w:r>
      <m:oMath>
        <m:sSub>
          <m:e>
            <m:r>
              <m:t>d</m:t>
            </m:r>
          </m:e>
          <m:sub>
            <m:r>
              <m:t>1</m:t>
            </m:r>
          </m:sub>
        </m:sSub>
        <m:r>
          <m:t>.</m:t>
        </m:r>
        <m:r>
          <m:t>.</m:t>
        </m:r>
        <m:r>
          <m:t>.</m:t>
        </m:r>
        <m:sSub>
          <m:e>
            <m:r>
              <m:t>d</m:t>
            </m:r>
          </m:e>
          <m:sub>
            <m:r>
              <m:t>10</m:t>
            </m:r>
          </m:sub>
        </m:sSub>
      </m:oMath>
      <w:r>
        <w:t xml:space="preserve"> </w:t>
      </w:r>
      <w:r>
        <w:t xml:space="preserve">represent each decile value after being scaled down to the mean energy supply target, but before being adjusted to hit the minimum energy use target.</w:t>
      </w:r>
    </w:p>
    <w:p>
      <w:r>
        <w:br w:type="page"/>
      </w:r>
    </w:p>
    <w:p>
      <w:pPr>
        <w:pStyle w:val="Heading1"/>
      </w:pPr>
      <w:bookmarkStart w:id="56" w:name="supplementary-references"/>
      <w:r>
        <w:t xml:space="preserve">Supplementary references</w:t>
      </w:r>
      <w:bookmarkEnd w:id="56"/>
    </w:p>
    <w:bookmarkStart w:id="118" w:name="refs"/>
    <w:bookmarkStart w:id="57" w:name="ref-miller_input-output_1985"/>
    <w:p>
      <w:pPr>
        <w:pStyle w:val="Bibliography"/>
      </w:pPr>
      <w:r>
        <w:t xml:space="preserve">1. Miller RE, Blair PD. Input-output analysis: Foundations and extensions. Englewood Cliffs, N.J: Prentice-Hall; 1985.</w:t>
      </w:r>
      <w:r>
        <w:t xml:space="preserve"> </w:t>
      </w:r>
    </w:p>
    <w:bookmarkEnd w:id="57"/>
    <w:bookmarkStart w:id="58"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8"/>
    <w:bookmarkStart w:id="59" w:name="ref-stadler_exiobase_2019"/>
    <w:p>
      <w:pPr>
        <w:pStyle w:val="Bibliography"/>
      </w:pPr>
      <w:r>
        <w:t xml:space="preserve">3. Stadler K, Wood R, Bulavskaya T, Södersten C-J, Simas M, Schmidt S, et al. EXIOBASE 3. Zenodo; 2019.</w:t>
      </w:r>
      <w:r>
        <w:t xml:space="preserve"> </w:t>
      </w:r>
    </w:p>
    <w:bookmarkEnd w:id="59"/>
    <w:bookmarkStart w:id="60" w:name="ref-eurostat_database_2021"/>
    <w:p>
      <w:pPr>
        <w:pStyle w:val="Bibliography"/>
      </w:pPr>
      <w:r>
        <w:t xml:space="preserve">4. Eurostat. Database - Household budget surveys - Eurostat [Internet]. 2021 [cited 2020 May 22]. Available from:</w:t>
      </w:r>
      <w:r>
        <w:t xml:space="preserve"> </w:t>
      </w:r>
      <w:hyperlink r:id="rId24">
        <w:r>
          <w:rPr>
            <w:rStyle w:val="Hyperlink"/>
          </w:rPr>
          <w:t xml:space="preserve">https://ec.europa.eu/eurostat/web/household-budget-surveys/database</w:t>
        </w:r>
      </w:hyperlink>
    </w:p>
    <w:bookmarkEnd w:id="60"/>
    <w:bookmarkStart w:id="62"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61">
        <w:r>
          <w:rPr>
            <w:rStyle w:val="Hyperlink"/>
          </w:rPr>
          <w:t xml:space="preserve">https://www.R-project.org/</w:t>
        </w:r>
      </w:hyperlink>
    </w:p>
    <w:bookmarkEnd w:id="62"/>
    <w:bookmarkStart w:id="64"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3">
        <w:r>
          <w:rPr>
            <w:rStyle w:val="Hyperlink"/>
          </w:rPr>
          <w:t xml:space="preserve">https://joss.theoj.org/papers/10.21105/joss.01686</w:t>
        </w:r>
      </w:hyperlink>
    </w:p>
    <w:bookmarkEnd w:id="64"/>
    <w:bookmarkStart w:id="66"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5">
        <w:r>
          <w:rPr>
            <w:rStyle w:val="Hyperlink"/>
          </w:rPr>
          <w:t xml:space="preserve">https://CRAN.R-project.org/package=janitor</w:t>
        </w:r>
      </w:hyperlink>
    </w:p>
    <w:bookmarkEnd w:id="66"/>
    <w:bookmarkStart w:id="68" w:name="ref-muller_here:_2020"/>
    <w:p>
      <w:pPr>
        <w:pStyle w:val="Bibliography"/>
      </w:pPr>
      <w:r>
        <w:t xml:space="preserve">8. Müller K, Bryan J. Here: A Simpler Way to Find Your Files [Internet]. 2020 [cited 2021 Feb 1]. Available from:</w:t>
      </w:r>
      <w:r>
        <w:t xml:space="preserve"> </w:t>
      </w:r>
      <w:hyperlink r:id="rId67">
        <w:r>
          <w:rPr>
            <w:rStyle w:val="Hyperlink"/>
          </w:rPr>
          <w:t xml:space="preserve">https://CRAN.R-project.org/package=here</w:t>
        </w:r>
      </w:hyperlink>
    </w:p>
    <w:bookmarkEnd w:id="68"/>
    <w:bookmarkStart w:id="70"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9">
        <w:r>
          <w:rPr>
            <w:rStyle w:val="Hyperlink"/>
          </w:rPr>
          <w:t xml:space="preserve">https://CRAN.R-project.org/package=wbstats</w:t>
        </w:r>
      </w:hyperlink>
    </w:p>
    <w:bookmarkEnd w:id="70"/>
    <w:bookmarkStart w:id="72" w:name="ref-buchta_isocodes:_2020"/>
    <w:p>
      <w:pPr>
        <w:pStyle w:val="Bibliography"/>
      </w:pPr>
      <w:r>
        <w:t xml:space="preserve">10. Buchta C, Hornik [aut K, cre. ISOcodes: Selected ISO Codes [Internet]. 2020 [cited 2021 Feb 1]. Available from:</w:t>
      </w:r>
      <w:r>
        <w:t xml:space="preserve"> </w:t>
      </w:r>
      <w:hyperlink r:id="rId71">
        <w:r>
          <w:rPr>
            <w:rStyle w:val="Hyperlink"/>
          </w:rPr>
          <w:t xml:space="preserve">https://CRAN.R-project.org/package=ISOcodes</w:t>
        </w:r>
      </w:hyperlink>
    </w:p>
    <w:bookmarkEnd w:id="72"/>
    <w:bookmarkStart w:id="74" w:name="ref-garnier_viridis:_2018"/>
    <w:p>
      <w:pPr>
        <w:pStyle w:val="Bibliography"/>
      </w:pPr>
      <w:r>
        <w:t xml:space="preserve">11. Garnier S, Ross N, Rudis B, Sciaini M, Scherer C. Viridis: Default Color Maps from ’matplotlib’ [Internet]. 2018 [cited 2021 Feb 1]. Available from:</w:t>
      </w:r>
      <w:r>
        <w:t xml:space="preserve"> </w:t>
      </w:r>
      <w:hyperlink r:id="rId73">
        <w:r>
          <w:rPr>
            <w:rStyle w:val="Hyperlink"/>
          </w:rPr>
          <w:t xml:space="preserve">https://CRAN.R-project.org/package=viridis</w:t>
        </w:r>
      </w:hyperlink>
    </w:p>
    <w:bookmarkEnd w:id="74"/>
    <w:bookmarkStart w:id="76"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5">
        <w:r>
          <w:rPr>
            <w:rStyle w:val="Hyperlink"/>
          </w:rPr>
          <w:t xml:space="preserve">https://CRAN.R-project.org/package=hrbrthemes</w:t>
        </w:r>
      </w:hyperlink>
    </w:p>
    <w:bookmarkEnd w:id="76"/>
    <w:bookmarkStart w:id="78" w:name="ref-ram_wesanderson:_2018"/>
    <w:p>
      <w:pPr>
        <w:pStyle w:val="Bibliography"/>
      </w:pPr>
      <w:r>
        <w:t xml:space="preserve">13. Ram K, Wickham H, Richards C, Baggett A. Wesanderson: A Wes Anderson Palette Generator [Internet]. 2018 [cited 2021 Feb 1]. Available from:</w:t>
      </w:r>
      <w:r>
        <w:t xml:space="preserve"> </w:t>
      </w:r>
      <w:hyperlink r:id="rId77">
        <w:r>
          <w:rPr>
            <w:rStyle w:val="Hyperlink"/>
          </w:rPr>
          <w:t xml:space="preserve">https://CRAN.R-project.org/package=wesanderson</w:t>
        </w:r>
      </w:hyperlink>
    </w:p>
    <w:bookmarkEnd w:id="78"/>
    <w:bookmarkStart w:id="80" w:name="ref-hester_glue:_2020"/>
    <w:p>
      <w:pPr>
        <w:pStyle w:val="Bibliography"/>
      </w:pPr>
      <w:r>
        <w:t xml:space="preserve">14. Hester J. Glue: Interpreted String Literals [Internet]. 2020 [cited 2021 Feb 1]. Available from:</w:t>
      </w:r>
      <w:r>
        <w:t xml:space="preserve"> </w:t>
      </w:r>
      <w:hyperlink r:id="rId79">
        <w:r>
          <w:rPr>
            <w:rStyle w:val="Hyperlink"/>
          </w:rPr>
          <w:t xml:space="preserve">https://CRAN.R-project.org/package=glue</w:t>
        </w:r>
      </w:hyperlink>
    </w:p>
    <w:bookmarkEnd w:id="80"/>
    <w:bookmarkStart w:id="82" w:name="ref-wilke_ggridges:_2021"/>
    <w:p>
      <w:pPr>
        <w:pStyle w:val="Bibliography"/>
      </w:pPr>
      <w:r>
        <w:t xml:space="preserve">15. Wilke CO. Ggridges: Ridgeline Plots in ’ggplot2’ [Internet]. 2021 [cited 2021 Feb 1]. Available from:</w:t>
      </w:r>
      <w:r>
        <w:t xml:space="preserve"> </w:t>
      </w:r>
      <w:hyperlink r:id="rId81">
        <w:r>
          <w:rPr>
            <w:rStyle w:val="Hyperlink"/>
          </w:rPr>
          <w:t xml:space="preserve">https://CRAN.R-project.org/package=ggridges</w:t>
        </w:r>
      </w:hyperlink>
    </w:p>
    <w:bookmarkEnd w:id="82"/>
    <w:bookmarkStart w:id="84" w:name="ref-pedersen_patchwork:_2020"/>
    <w:p>
      <w:pPr>
        <w:pStyle w:val="Bibliography"/>
      </w:pPr>
      <w:r>
        <w:t xml:space="preserve">16. Pedersen TL. Patchwork: The Composer of Plots [Internet]. 2020 [cited 2021 Feb 1]. Available from:</w:t>
      </w:r>
      <w:r>
        <w:t xml:space="preserve"> </w:t>
      </w:r>
      <w:hyperlink r:id="rId83">
        <w:r>
          <w:rPr>
            <w:rStyle w:val="Hyperlink"/>
          </w:rPr>
          <w:t xml:space="preserve">https://CRAN.R-project.org/package=patchwork</w:t>
        </w:r>
      </w:hyperlink>
    </w:p>
    <w:bookmarkEnd w:id="84"/>
    <w:bookmarkStart w:id="86"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5">
        <w:r>
          <w:rPr>
            <w:rStyle w:val="Hyperlink"/>
          </w:rPr>
          <w:t xml:space="preserve">https://CRAN.R-project.org/package=kableExtra</w:t>
        </w:r>
      </w:hyperlink>
    </w:p>
    <w:bookmarkEnd w:id="86"/>
    <w:bookmarkStart w:id="88"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7">
        <w:r>
          <w:rPr>
            <w:rStyle w:val="Hyperlink"/>
          </w:rPr>
          <w:t xml:space="preserve">https://CRAN.R-project.org/package=readxl</w:t>
        </w:r>
      </w:hyperlink>
    </w:p>
    <w:bookmarkEnd w:id="88"/>
    <w:bookmarkStart w:id="90"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9">
        <w:r>
          <w:rPr>
            <w:rStyle w:val="Hyperlink"/>
          </w:rPr>
          <w:t xml:space="preserve">https://CRAN.R-project.org/package=flextable</w:t>
        </w:r>
      </w:hyperlink>
    </w:p>
    <w:bookmarkEnd w:id="90"/>
    <w:bookmarkStart w:id="92" w:name="ref-south_rworldmap:_2016"/>
    <w:p>
      <w:pPr>
        <w:pStyle w:val="Bibliography"/>
      </w:pPr>
      <w:r>
        <w:t xml:space="preserve">20. South A. Rworldmap: Mapping Global Data [Internet]. 2016 [cited 2021 Feb 1]. Available from:</w:t>
      </w:r>
      <w:r>
        <w:t xml:space="preserve"> </w:t>
      </w:r>
      <w:hyperlink r:id="rId91">
        <w:r>
          <w:rPr>
            <w:rStyle w:val="Hyperlink"/>
          </w:rPr>
          <w:t xml:space="preserve">https://CRAN.R-project.org/package=rworldmap</w:t>
        </w:r>
      </w:hyperlink>
    </w:p>
    <w:bookmarkEnd w:id="92"/>
    <w:bookmarkStart w:id="94"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3">
        <w:r>
          <w:rPr>
            <w:rStyle w:val="Hyperlink"/>
          </w:rPr>
          <w:t xml:space="preserve">https://CRAN.R-project.org/package=ggthemes</w:t>
        </w:r>
      </w:hyperlink>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Luxembourg: Publications Office of the European Union; 2015.</w:t>
      </w:r>
      <w:r>
        <w:t xml:space="preserve"> </w:t>
      </w:r>
    </w:p>
    <w:bookmarkEnd w:id="96"/>
    <w:bookmarkStart w:id="97" w:name="ref-eurostat_eurostat_2021"/>
    <w:p>
      <w:pPr>
        <w:pStyle w:val="Bibliography"/>
      </w:pPr>
      <w:r>
        <w:t xml:space="preserve">24. Eurostat. Eurostat - Data Explorer - Energy supply and use by NACE Rev. 2 activity [Internet]. 2021 [cited 2020 Jun 3]. Available from:</w:t>
      </w:r>
      <w:r>
        <w:t xml:space="preserve"> </w:t>
      </w:r>
      <w:hyperlink r:id="rId28">
        <w:r>
          <w:rPr>
            <w:rStyle w:val="Hyperlink"/>
          </w:rPr>
          <w:t xml:space="preserve">http://appsso.eurostat.ec.europa.eu/nui/show.do?dataset=env_ac_pefasu</w:t>
        </w:r>
      </w:hyperlink>
    </w:p>
    <w:bookmarkEnd w:id="97"/>
    <w:bookmarkStart w:id="98" w:name="ref-eurostat_eurostat_2021-1"/>
    <w:p>
      <w:pPr>
        <w:pStyle w:val="Bibliography"/>
      </w:pPr>
      <w:r>
        <w:t xml:space="preserve">25. Eurostat. Eurostat - Data Explorer - Air emissions accounts by NACE Rev. 2 activity [Internet]. 2021 [cited 2020 Jun 3]. Available from:</w:t>
      </w:r>
      <w:r>
        <w:t xml:space="preserve"> </w:t>
      </w:r>
      <w:hyperlink r:id="rId29">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2021-2"/>
    <w:p>
      <w:pPr>
        <w:pStyle w:val="Bibliography"/>
      </w:pPr>
      <w:r>
        <w:t xml:space="preserve">27. Eurostat. Eurostat - Data Explorer - Number of private households by household composition, number of children and age of youngest child (1 000) [Internet]. 2021 [cited 2020 May 4]. Available from:</w:t>
      </w:r>
      <w:r>
        <w:t xml:space="preserve"> </w:t>
      </w:r>
      <w:hyperlink r:id="rId101">
        <w:r>
          <w:rPr>
            <w:rStyle w:val="Hyperlink"/>
          </w:rPr>
          <w:t xml:space="preserve">https://appsso.eurostat.ec.europa.eu/nui/show.do?dataset=lfst_hhnhtych&amp;lang=en</w:t>
        </w:r>
      </w:hyperlink>
    </w:p>
    <w:bookmarkEnd w:id="102"/>
    <w:bookmarkStart w:id="103" w:name="ref-statistics_norway_10986:_2021"/>
    <w:p>
      <w:pPr>
        <w:pStyle w:val="Bibliography"/>
      </w:pPr>
      <w:r>
        <w:t xml:space="preserve">28. Statistics Norway. 10986: Private households and persons in private households, by type of household (C) 2005 - 2020 [Internet]. PX-Web SSB. 2021 [cited 2020 May 4]. Available from:</w:t>
      </w:r>
      <w:r>
        <w:t xml:space="preserve"> </w:t>
      </w:r>
      <w:hyperlink r:id="rId31">
        <w:r>
          <w:rPr>
            <w:rStyle w:val="Hyperlink"/>
          </w:rPr>
          <w:t xml:space="preserve">https://www.ssb.no/en/statbank/table/10986/</w:t>
        </w:r>
      </w:hyperlink>
    </w:p>
    <w:bookmarkEnd w:id="103"/>
    <w:bookmarkStart w:id="105" w:name="ref-eurostat_eu_2020"/>
    <w:p>
      <w:pPr>
        <w:pStyle w:val="Bibliography"/>
      </w:pPr>
      <w:r>
        <w:t xml:space="preserve">29. Eurostat. EU Quality Report of the Household Budget Survey 2015 Wave [Internet]. 2020. Available from:</w:t>
      </w:r>
      <w:r>
        <w:t xml:space="preserve"> </w:t>
      </w:r>
      <w:hyperlink r:id="rId104">
        <w:r>
          <w:rPr>
            <w:rStyle w:val="Hyperlink"/>
          </w:rPr>
          <w:t xml:space="preserve">https://ec.europa.eu/eurostat/documents/54431/1966394/HBS_EU_QualityReport_2015.pdf/72d7e310-c415-7806-93cc-e3bc7a49b596</w:t>
        </w:r>
      </w:hyperlink>
    </w:p>
    <w:bookmarkEnd w:id="105"/>
    <w:bookmarkStart w:id="106"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6"/>
    <w:bookmarkStart w:id="107"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7"/>
    <w:bookmarkStart w:id="108" w:name="ref-gore_t._confronting_2020"/>
    <w:p>
      <w:pPr>
        <w:pStyle w:val="Bibliography"/>
      </w:pPr>
      <w:r>
        <w:t xml:space="preserve">32. Gore, T., Alestig, M. Confronting carbon inequality in the European Union. Oxfam International; 2020.</w:t>
      </w:r>
      <w:r>
        <w:t xml:space="preserve"> </w:t>
      </w:r>
    </w:p>
    <w:bookmarkEnd w:id="108"/>
    <w:bookmarkStart w:id="109" w:name="ref-sommer_carbon_2017"/>
    <w:p>
      <w:pPr>
        <w:pStyle w:val="Bibliography"/>
      </w:pPr>
      <w:r>
        <w:t xml:space="preserve">33. Sommer M, Kratena K. The Carbon Footprint of European Households and Income Distribution. Ecological Economics. 2017;136(C):62–72.</w:t>
      </w:r>
      <w:r>
        <w:t xml:space="preserve"> </w:t>
      </w:r>
    </w:p>
    <w:bookmarkEnd w:id="109"/>
    <w:bookmarkStart w:id="110"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10"/>
    <w:bookmarkStart w:id="111"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11"/>
    <w:bookmarkStart w:id="112" w:name="ref-oecd_sut_2021"/>
    <w:p>
      <w:pPr>
        <w:pStyle w:val="Bibliography"/>
      </w:pPr>
      <w:r>
        <w:t xml:space="preserve">36. OECD. SUT Indicators : Trade and transport margins in percentage of total supply at purchasers’ prices [Internet]. 2021 [cited 2020 Apr 15]. Available from:</w:t>
      </w:r>
      <w:r>
        <w:t xml:space="preserve"> </w:t>
      </w:r>
      <w:hyperlink r:id="rId41">
        <w:r>
          <w:rPr>
            <w:rStyle w:val="Hyperlink"/>
          </w:rPr>
          <w:t xml:space="preserve">https://stats.oecd.org/index.aspx?queryid=84864#</w:t>
        </w:r>
      </w:hyperlink>
    </w:p>
    <w:bookmarkEnd w:id="112"/>
    <w:bookmarkStart w:id="113"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3"/>
    <w:bookmarkStart w:id="114"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4"/>
    <w:bookmarkStart w:id="116" w:name="ref-iiasa_gea_2012"/>
    <w:p>
      <w:pPr>
        <w:pStyle w:val="Bibliography"/>
      </w:pPr>
      <w:r>
        <w:t xml:space="preserve">39. IIASA. GEA Scenario database (public) [Internet]. 2012 [cited 2020 Oct 1]. Available from:</w:t>
      </w:r>
      <w:r>
        <w:t xml:space="preserve"> </w:t>
      </w:r>
      <w:hyperlink r:id="rId115">
        <w:r>
          <w:rPr>
            <w:rStyle w:val="Hyperlink"/>
          </w:rPr>
          <w:t xml:space="preserve">https://tntcat.iiasa.ac.at/geadb/dsd?Action=htmlpage&amp;page=about</w:t>
        </w:r>
      </w:hyperlink>
    </w:p>
    <w:bookmarkEnd w:id="116"/>
    <w:bookmarkStart w:id="117"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7"/>
    <w:bookmarkEnd w:id="11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38" Target="media/rId38.png" /><Relationship Type="http://schemas.openxmlformats.org/officeDocument/2006/relationships/image" Id="rId54" Target="media/rId54.png" /><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2021-02-25T10:15:37Z</dcterms:created>
  <dcterms:modified xsi:type="dcterms:W3CDTF">2021-02-25T10:15:37Z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