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[acessed on 22.05.2020]</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800"/>
        <w:gridCol w:w="1212"/>
        <w:gridCol w:w="1212"/>
        <w:gridCol w:w="1563"/>
        <w:gridCol w:w="1609"/>
        <w:gridCol w:w="1563"/>
        <w:gridCol w:w="1609"/>
      </w:tblGrid>
      <w:tr>
        <w:trPr>
          <w:cantSplit/>
          <w:trHeight w:val="33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pps_hh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pm_sector1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pm_sector2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pps_hh_sector1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sector_1_shares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pps_hh_sector2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sector_2_shares</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1: Table S2: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p>
      <w:pPr>
        <w:pStyle w:val="Compact"/>
      </w:pPr>
      <w:r>
        <w:t xml:space="preserve">sector</w:t>
      </w:r>
    </w:p>
    <w:p>
      <w:pPr>
        <w:pStyle w:val="Compact"/>
      </w:pPr>
      <w:r>
        <w:t xml:space="preserve">q1 share</w:t>
      </w:r>
    </w:p>
    <w:p>
      <w:pPr>
        <w:pStyle w:val="Compact"/>
      </w:pPr>
      <w:r>
        <w:t xml:space="preserve">q2 share</w:t>
      </w:r>
    </w:p>
    <w:p>
      <w:pPr>
        <w:pStyle w:val="Compact"/>
      </w:pPr>
      <w:r>
        <w:t xml:space="preserve">q3 share</w:t>
      </w:r>
    </w:p>
    <w:p>
      <w:pPr>
        <w:pStyle w:val="Compact"/>
      </w:pPr>
      <w:r>
        <w:t xml:space="preserve">q4 share</w:t>
      </w:r>
    </w:p>
    <w:p>
      <w:pPr>
        <w:pStyle w:val="Compact"/>
      </w:pPr>
      <w:r>
        <w:t xml:space="preserve">q5 share</w:t>
      </w:r>
    </w:p>
    <w:p>
      <w:pPr>
        <w:pStyle w:val="Compact"/>
      </w:pPr>
      <w:r>
        <w:t xml:space="preserve">eemrio hh fd</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1</w:t>
      </w:r>
    </w:p>
    <w:p>
      <w:pPr>
        <w:pStyle w:val="Compact"/>
      </w:pPr>
      <w:r>
        <w:t xml:space="preserve">0.0367647</w:t>
      </w:r>
    </w:p>
    <w:p>
      <w:pPr>
        <w:pStyle w:val="Compact"/>
      </w:pPr>
      <w:r>
        <w:t xml:space="preserve">0.0716912</w:t>
      </w:r>
    </w:p>
    <w:p>
      <w:pPr>
        <w:pStyle w:val="Compact"/>
      </w:pPr>
      <w:r>
        <w:t xml:space="preserve">0.1470588</w:t>
      </w:r>
    </w:p>
    <w:p>
      <w:pPr>
        <w:pStyle w:val="Compact"/>
      </w:pPr>
      <w:r>
        <w:t xml:space="preserve">0.3033088</w:t>
      </w:r>
    </w:p>
    <w:p>
      <w:pPr>
        <w:pStyle w:val="Compact"/>
      </w:pPr>
      <w:r>
        <w:t xml:space="preserve">0.4411765</w:t>
      </w:r>
    </w:p>
    <w:p>
      <w:pPr>
        <w:pStyle w:val="Compact"/>
      </w:pPr>
      <w:r>
        <w:t xml:space="preserve">300</w:t>
      </w:r>
    </w:p>
    <w:p>
      <w:pPr>
        <w:pStyle w:val="Compact"/>
      </w:pPr>
      <w:r>
        <w:t xml:space="preserve">11.02941</w:t>
      </w:r>
    </w:p>
    <w:p>
      <w:pPr>
        <w:pStyle w:val="Compact"/>
      </w:pPr>
      <w:r>
        <w:t xml:space="preserve">21.50735</w:t>
      </w:r>
    </w:p>
    <w:p>
      <w:pPr>
        <w:pStyle w:val="Compact"/>
      </w:pPr>
      <w:r>
        <w:t xml:space="preserve">44.11765</w:t>
      </w:r>
    </w:p>
    <w:p>
      <w:pPr>
        <w:pStyle w:val="Compact"/>
      </w:pPr>
      <w:r>
        <w:t xml:space="preserve">90.99265</w:t>
      </w:r>
    </w:p>
    <w:p>
      <w:pPr>
        <w:pStyle w:val="Compact"/>
      </w:pPr>
      <w:r>
        <w:t xml:space="preserve">132.3529</w:t>
      </w:r>
    </w:p>
    <w:p>
      <w:pPr>
        <w:pStyle w:val="Compact"/>
      </w:pPr>
      <w:r>
        <w:t xml:space="preserve">2</w:t>
      </w:r>
    </w:p>
    <w:p>
      <w:pPr>
        <w:pStyle w:val="Compact"/>
      </w:pPr>
      <w:r>
        <w:t xml:space="preserve">0.1298701</w:t>
      </w:r>
    </w:p>
    <w:p>
      <w:pPr>
        <w:pStyle w:val="Compact"/>
      </w:pPr>
      <w:r>
        <w:t xml:space="preserve">0.1477273</w:t>
      </w:r>
    </w:p>
    <w:p>
      <w:pPr>
        <w:pStyle w:val="Compact"/>
      </w:pPr>
      <w:r>
        <w:t xml:space="preserve">0.1948052</w:t>
      </w:r>
    </w:p>
    <w:p>
      <w:pPr>
        <w:pStyle w:val="Compact"/>
      </w:pPr>
      <w:r>
        <w:t xml:space="preserve">0.2678571</w:t>
      </w:r>
    </w:p>
    <w:p>
      <w:pPr>
        <w:pStyle w:val="Compact"/>
      </w:pPr>
      <w:r>
        <w:t xml:space="preserve">0.2597403</w:t>
      </w:r>
    </w:p>
    <w:p>
      <w:pPr>
        <w:pStyle w:val="Compact"/>
      </w:pPr>
      <w:r>
        <w:t xml:space="preserve">800</w:t>
      </w:r>
    </w:p>
    <w:p>
      <w:pPr>
        <w:pStyle w:val="Compact"/>
      </w:pPr>
      <w:r>
        <w:t xml:space="preserve">103.89610</w:t>
      </w:r>
    </w:p>
    <w:p>
      <w:pPr>
        <w:pStyle w:val="Compact"/>
      </w:pPr>
      <w:r>
        <w:t xml:space="preserve">118.18182</w:t>
      </w:r>
    </w:p>
    <w:p>
      <w:pPr>
        <w:pStyle w:val="Compact"/>
      </w:pPr>
      <w:r>
        <w:t xml:space="preserve">155.84416</w:t>
      </w:r>
    </w:p>
    <w:p>
      <w:pPr>
        <w:pStyle w:val="Compact"/>
      </w:pPr>
      <w:r>
        <w:t xml:space="preserve">214.28571</w:t>
      </w:r>
    </w:p>
    <w:p>
      <w:pPr>
        <w:pStyle w:val="Compact"/>
      </w:pPr>
      <w:r>
        <w:t xml:space="preserve">207.7922</w:t>
      </w:r>
    </w:p>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2: Table S3: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p>
      <w:pPr>
        <w:pStyle w:val="Compact"/>
      </w:pPr>
      <w:r>
        <w:t xml:space="preserve">sector</w:t>
      </w:r>
    </w:p>
    <w:p>
      <w:pPr>
        <w:pStyle w:val="Compact"/>
      </w:pPr>
      <w:r>
        <w:t xml:space="preserve">eemrio hh fd</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TIV</w:t>
      </w:r>
    </w:p>
    <w:p>
      <w:pPr>
        <w:pStyle w:val="Compact"/>
      </w:pPr>
      <w:r>
        <w:t xml:space="preserve">q1 fp</w:t>
      </w:r>
    </w:p>
    <w:p>
      <w:pPr>
        <w:pStyle w:val="Compact"/>
      </w:pPr>
      <w:r>
        <w:t xml:space="preserve">q2 fp</w:t>
      </w:r>
    </w:p>
    <w:p>
      <w:pPr>
        <w:pStyle w:val="Compact"/>
      </w:pPr>
      <w:r>
        <w:t xml:space="preserve">q3 fp</w:t>
      </w:r>
    </w:p>
    <w:p>
      <w:pPr>
        <w:pStyle w:val="Compact"/>
      </w:pPr>
      <w:r>
        <w:t xml:space="preserve">q4 fp</w:t>
      </w:r>
    </w:p>
    <w:p>
      <w:pPr>
        <w:pStyle w:val="Compact"/>
      </w:pPr>
      <w:r>
        <w:t xml:space="preserve">q5 fp</w:t>
      </w:r>
    </w:p>
    <w:p>
      <w:pPr>
        <w:pStyle w:val="Compact"/>
      </w:pPr>
      <w:r>
        <w:t xml:space="preserve">total fp</w:t>
      </w:r>
    </w:p>
    <w:p>
      <w:pPr>
        <w:pStyle w:val="Compact"/>
      </w:pPr>
      <w:r>
        <w:t xml:space="preserve">1</w:t>
      </w:r>
    </w:p>
    <w:p>
      <w:pPr>
        <w:pStyle w:val="Compact"/>
      </w:pPr>
      <w:r>
        <w:t xml:space="preserve">300</w:t>
      </w:r>
    </w:p>
    <w:p>
      <w:pPr>
        <w:pStyle w:val="Compact"/>
      </w:pPr>
      <w:r>
        <w:t xml:space="preserve">11.02941</w:t>
      </w:r>
    </w:p>
    <w:p>
      <w:pPr>
        <w:pStyle w:val="Compact"/>
      </w:pPr>
      <w:r>
        <w:t xml:space="preserve">21.50735</w:t>
      </w:r>
    </w:p>
    <w:p>
      <w:pPr>
        <w:pStyle w:val="Compact"/>
      </w:pPr>
      <w:r>
        <w:t xml:space="preserve">44.11765</w:t>
      </w:r>
    </w:p>
    <w:p>
      <w:pPr>
        <w:pStyle w:val="Compact"/>
      </w:pPr>
      <w:r>
        <w:t xml:space="preserve">90.99265</w:t>
      </w:r>
    </w:p>
    <w:p>
      <w:pPr>
        <w:pStyle w:val="Compact"/>
      </w:pPr>
      <w:r>
        <w:t xml:space="preserve">132.3529</w:t>
      </w:r>
    </w:p>
    <w:p>
      <w:pPr>
        <w:pStyle w:val="Compact"/>
      </w:pPr>
      <w:r>
        <w:t xml:space="preserve">0.2</w:t>
      </w:r>
    </w:p>
    <w:p>
      <w:pPr>
        <w:pStyle w:val="Compact"/>
      </w:pPr>
      <w:r>
        <w:t xml:space="preserve">2.205882</w:t>
      </w:r>
    </w:p>
    <w:p>
      <w:pPr>
        <w:pStyle w:val="Compact"/>
      </w:pPr>
      <w:r>
        <w:t xml:space="preserve">4.301471</w:t>
      </w:r>
    </w:p>
    <w:p>
      <w:pPr>
        <w:pStyle w:val="Compact"/>
      </w:pPr>
      <w:r>
        <w:t xml:space="preserve">8.823529</w:t>
      </w:r>
    </w:p>
    <w:p>
      <w:pPr>
        <w:pStyle w:val="Compact"/>
      </w:pPr>
      <w:r>
        <w:t xml:space="preserve">18.19853</w:t>
      </w:r>
    </w:p>
    <w:p>
      <w:pPr>
        <w:pStyle w:val="Compact"/>
      </w:pPr>
      <w:r>
        <w:t xml:space="preserve">26.47059</w:t>
      </w:r>
    </w:p>
    <w:p>
      <w:pPr>
        <w:pStyle w:val="Compact"/>
      </w:pPr>
      <w:r>
        <w:t xml:space="preserve">60</w:t>
      </w:r>
    </w:p>
    <w:p>
      <w:pPr>
        <w:pStyle w:val="Compact"/>
      </w:pPr>
      <w:r>
        <w:t xml:space="preserve">2</w:t>
      </w:r>
    </w:p>
    <w:p>
      <w:pPr>
        <w:pStyle w:val="Compact"/>
      </w:pPr>
      <w:r>
        <w:t xml:space="preserve">800</w:t>
      </w:r>
    </w:p>
    <w:p>
      <w:pPr>
        <w:pStyle w:val="Compact"/>
      </w:pPr>
      <w:r>
        <w:t xml:space="preserve">103.89610</w:t>
      </w:r>
    </w:p>
    <w:p>
      <w:pPr>
        <w:pStyle w:val="Compact"/>
      </w:pPr>
      <w:r>
        <w:t xml:space="preserve">118.18182</w:t>
      </w:r>
    </w:p>
    <w:p>
      <w:pPr>
        <w:pStyle w:val="Compact"/>
      </w:pPr>
      <w:r>
        <w:t xml:space="preserve">155.84416</w:t>
      </w:r>
    </w:p>
    <w:p>
      <w:pPr>
        <w:pStyle w:val="Compact"/>
      </w:pPr>
      <w:r>
        <w:t xml:space="preserve">214.28571</w:t>
      </w:r>
    </w:p>
    <w:p>
      <w:pPr>
        <w:pStyle w:val="Compact"/>
      </w:pPr>
      <w:r>
        <w:t xml:space="preserve">207.7922</w:t>
      </w:r>
    </w:p>
    <w:p>
      <w:pPr>
        <w:pStyle w:val="Compact"/>
      </w:pPr>
      <w:r>
        <w:t xml:space="preserve">0.4</w:t>
      </w:r>
    </w:p>
    <w:p>
      <w:pPr>
        <w:pStyle w:val="Compact"/>
      </w:pPr>
      <w:r>
        <w:t xml:space="preserve">41.558442</w:t>
      </w:r>
    </w:p>
    <w:p>
      <w:pPr>
        <w:pStyle w:val="Compact"/>
      </w:pPr>
      <w:r>
        <w:t xml:space="preserve">47.272727</w:t>
      </w:r>
    </w:p>
    <w:p>
      <w:pPr>
        <w:pStyle w:val="Compact"/>
      </w:pPr>
      <w:r>
        <w:t xml:space="preserve">62.337662</w:t>
      </w:r>
    </w:p>
    <w:p>
      <w:pPr>
        <w:pStyle w:val="Compact"/>
      </w:pPr>
      <w:r>
        <w:t xml:space="preserve">85.71429</w:t>
      </w:r>
    </w:p>
    <w:p>
      <w:pPr>
        <w:pStyle w:val="Compact"/>
      </w:pPr>
      <w:r>
        <w:t xml:space="preserve">83.11688</w:t>
      </w:r>
    </w:p>
    <w:p>
      <w:pPr>
        <w:pStyle w:val="Compact"/>
      </w:pPr>
      <w:r>
        <w:t xml:space="preserve">320</w:t>
      </w:r>
    </w:p>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w:t>
      </w:r>
      <w:r>
        <w:t xml:space="preserve">. Some types of households may also be excluded from the samples, including super-rich households, for example Germany, which excludes households with over €18,000 monthly net income</w:t>
      </w:r>
      <w:r>
        <w:t xml:space="preserve"> </w:t>
      </w:r>
      <w:r>
        <w:t xml:space="preserve">Eurostat (2020)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3: Table S6: Same as Table S1 but now</w:t>
      </w:r>
      <w:r>
        <w:t xml:space="preserve"> </w:t>
      </w:r>
      <w:r>
        <w:t xml:space="preserve">with base price shares of purchaser price per sector, and</w:t>
      </w:r>
      <w:r>
        <w:t xml:space="preserve"> </w:t>
      </w:r>
      <w:r>
        <w:t xml:space="preserve">sectoral expenditure per quintile in pps hh base price.</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s1 (pps hh)</w:t>
      </w:r>
    </w:p>
    <w:p>
      <w:pPr>
        <w:pStyle w:val="Compact"/>
      </w:pPr>
      <w:r>
        <w:t xml:space="preserve">s1 bp</w:t>
      </w:r>
    </w:p>
    <w:p>
      <w:pPr>
        <w:pStyle w:val="Compact"/>
      </w:pPr>
      <w:r>
        <w:t xml:space="preserve">s1 (pps hh bp)</w:t>
      </w:r>
    </w:p>
    <w:p>
      <w:pPr>
        <w:pStyle w:val="Compact"/>
      </w:pPr>
      <w:r>
        <w:t xml:space="preserve">s2 (pps hh)</w:t>
      </w:r>
    </w:p>
    <w:p>
      <w:pPr>
        <w:pStyle w:val="Compact"/>
      </w:pPr>
      <w:r>
        <w:t xml:space="preserve">s2 bp</w:t>
      </w:r>
    </w:p>
    <w:p>
      <w:pPr>
        <w:pStyle w:val="Compact"/>
      </w:pPr>
      <w:r>
        <w:t xml:space="preserve">s2 (pps hh bp)</w:t>
      </w:r>
    </w:p>
    <w:p>
      <w:pPr>
        <w:pStyle w:val="Compact"/>
      </w:pPr>
      <w:r>
        <w:t xml:space="preserve">q1</w:t>
      </w:r>
    </w:p>
    <w:p>
      <w:pPr>
        <w:pStyle w:val="Compact"/>
      </w:pPr>
      <w:r>
        <w:t xml:space="preserve">10</w:t>
      </w:r>
    </w:p>
    <w:p>
      <w:pPr>
        <w:pStyle w:val="Compact"/>
      </w:pPr>
      <w:r>
        <w:t xml:space="preserve">200</w:t>
      </w:r>
    </w:p>
    <w:p>
      <w:pPr>
        <w:pStyle w:val="Compact"/>
      </w:pPr>
      <w:r>
        <w:t xml:space="preserve">800</w:t>
      </w:r>
    </w:p>
    <w:p>
      <w:pPr>
        <w:pStyle w:val="Compact"/>
      </w:pPr>
      <w:r>
        <w:t xml:space="preserve">2.0</w:t>
      </w:r>
    </w:p>
    <w:p>
      <w:pPr>
        <w:pStyle w:val="Compact"/>
      </w:pPr>
      <w:r>
        <w:t xml:space="preserve">0.5</w:t>
      </w:r>
    </w:p>
    <w:p>
      <w:pPr>
        <w:pStyle w:val="Compact"/>
      </w:pPr>
      <w:r>
        <w:t xml:space="preserve">1.00</w:t>
      </w:r>
    </w:p>
    <w:p>
      <w:pPr>
        <w:pStyle w:val="Compact"/>
      </w:pPr>
      <w:r>
        <w:t xml:space="preserve">8.0</w:t>
      </w:r>
    </w:p>
    <w:p>
      <w:pPr>
        <w:pStyle w:val="Compact"/>
      </w:pPr>
      <w:r>
        <w:t xml:space="preserve">1</w:t>
      </w:r>
    </w:p>
    <w:p>
      <w:pPr>
        <w:pStyle w:val="Compact"/>
      </w:pPr>
      <w:r>
        <w:t xml:space="preserve">8.0</w:t>
      </w:r>
    </w:p>
    <w:p>
      <w:pPr>
        <w:pStyle w:val="Compact"/>
      </w:pPr>
      <w:r>
        <w:t xml:space="preserve">q2</w:t>
      </w:r>
    </w:p>
    <w:p>
      <w:pPr>
        <w:pStyle w:val="Compact"/>
      </w:pPr>
      <w:r>
        <w:t xml:space="preserve">13</w:t>
      </w:r>
    </w:p>
    <w:p>
      <w:pPr>
        <w:pStyle w:val="Compact"/>
      </w:pPr>
      <w:r>
        <w:t xml:space="preserve">300</w:t>
      </w:r>
    </w:p>
    <w:p>
      <w:pPr>
        <w:pStyle w:val="Compact"/>
      </w:pPr>
      <w:r>
        <w:t xml:space="preserve">700</w:t>
      </w:r>
    </w:p>
    <w:p>
      <w:pPr>
        <w:pStyle w:val="Compact"/>
      </w:pPr>
      <w:r>
        <w:t xml:space="preserve">3.9</w:t>
      </w:r>
    </w:p>
    <w:p>
      <w:pPr>
        <w:pStyle w:val="Compact"/>
      </w:pPr>
      <w:r>
        <w:t xml:space="preserve">0.5</w:t>
      </w:r>
    </w:p>
    <w:p>
      <w:pPr>
        <w:pStyle w:val="Compact"/>
      </w:pPr>
      <w:r>
        <w:t xml:space="preserve">1.95</w:t>
      </w:r>
    </w:p>
    <w:p>
      <w:pPr>
        <w:pStyle w:val="Compact"/>
      </w:pPr>
      <w:r>
        <w:t xml:space="preserve">9.1</w:t>
      </w:r>
    </w:p>
    <w:p>
      <w:pPr>
        <w:pStyle w:val="Compact"/>
      </w:pPr>
      <w:r>
        <w:t xml:space="preserve">1</w:t>
      </w:r>
    </w:p>
    <w:p>
      <w:pPr>
        <w:pStyle w:val="Compact"/>
      </w:pPr>
      <w:r>
        <w:t xml:space="preserve">9.1</w:t>
      </w:r>
    </w:p>
    <w:p>
      <w:pPr>
        <w:pStyle w:val="Compact"/>
      </w:pPr>
      <w:r>
        <w:t xml:space="preserve">q3</w:t>
      </w:r>
    </w:p>
    <w:p>
      <w:pPr>
        <w:pStyle w:val="Compact"/>
      </w:pPr>
      <w:r>
        <w:t xml:space="preserve">20</w:t>
      </w:r>
    </w:p>
    <w:p>
      <w:pPr>
        <w:pStyle w:val="Compact"/>
      </w:pPr>
      <w:r>
        <w:t xml:space="preserve">400</w:t>
      </w:r>
    </w:p>
    <w:p>
      <w:pPr>
        <w:pStyle w:val="Compact"/>
      </w:pPr>
      <w:r>
        <w:t xml:space="preserve">600</w:t>
      </w:r>
    </w:p>
    <w:p>
      <w:pPr>
        <w:pStyle w:val="Compact"/>
      </w:pPr>
      <w:r>
        <w:t xml:space="preserve">8.0</w:t>
      </w:r>
    </w:p>
    <w:p>
      <w:pPr>
        <w:pStyle w:val="Compact"/>
      </w:pPr>
      <w:r>
        <w:t xml:space="preserve">0.5</w:t>
      </w:r>
    </w:p>
    <w:p>
      <w:pPr>
        <w:pStyle w:val="Compact"/>
      </w:pPr>
      <w:r>
        <w:t xml:space="preserve">4.00</w:t>
      </w:r>
    </w:p>
    <w:p>
      <w:pPr>
        <w:pStyle w:val="Compact"/>
      </w:pPr>
      <w:r>
        <w:t xml:space="preserve">12.0</w:t>
      </w:r>
    </w:p>
    <w:p>
      <w:pPr>
        <w:pStyle w:val="Compact"/>
      </w:pPr>
      <w:r>
        <w:t xml:space="preserve">1</w:t>
      </w:r>
    </w:p>
    <w:p>
      <w:pPr>
        <w:pStyle w:val="Compact"/>
      </w:pPr>
      <w:r>
        <w:t xml:space="preserve">12.0</w:t>
      </w:r>
    </w:p>
    <w:p>
      <w:pPr>
        <w:pStyle w:val="Compact"/>
      </w:pPr>
      <w:r>
        <w:t xml:space="preserve">q4</w:t>
      </w:r>
    </w:p>
    <w:p>
      <w:pPr>
        <w:pStyle w:val="Compact"/>
      </w:pPr>
      <w:r>
        <w:t xml:space="preserve">33</w:t>
      </w:r>
    </w:p>
    <w:p>
      <w:pPr>
        <w:pStyle w:val="Compact"/>
      </w:pPr>
      <w:r>
        <w:t xml:space="preserve">500</w:t>
      </w:r>
    </w:p>
    <w:p>
      <w:pPr>
        <w:pStyle w:val="Compact"/>
      </w:pPr>
      <w:r>
        <w:t xml:space="preserve">500</w:t>
      </w:r>
    </w:p>
    <w:p>
      <w:pPr>
        <w:pStyle w:val="Compact"/>
      </w:pPr>
      <w:r>
        <w:t xml:space="preserve">16.5</w:t>
      </w:r>
    </w:p>
    <w:p>
      <w:pPr>
        <w:pStyle w:val="Compact"/>
      </w:pPr>
      <w:r>
        <w:t xml:space="preserve">0.5</w:t>
      </w:r>
    </w:p>
    <w:p>
      <w:pPr>
        <w:pStyle w:val="Compact"/>
      </w:pPr>
      <w:r>
        <w:t xml:space="preserve">8.25</w:t>
      </w:r>
    </w:p>
    <w:p>
      <w:pPr>
        <w:pStyle w:val="Compact"/>
      </w:pPr>
      <w:r>
        <w:t xml:space="preserve">16.5</w:t>
      </w:r>
    </w:p>
    <w:p>
      <w:pPr>
        <w:pStyle w:val="Compact"/>
      </w:pPr>
      <w:r>
        <w:t xml:space="preserve">1</w:t>
      </w:r>
    </w:p>
    <w:p>
      <w:pPr>
        <w:pStyle w:val="Compact"/>
      </w:pPr>
      <w:r>
        <w:t xml:space="preserve">16.5</w:t>
      </w:r>
    </w:p>
    <w:p>
      <w:pPr>
        <w:pStyle w:val="Compact"/>
      </w:pPr>
      <w:r>
        <w:t xml:space="preserve">q5</w:t>
      </w:r>
    </w:p>
    <w:p>
      <w:pPr>
        <w:pStyle w:val="Compact"/>
      </w:pPr>
      <w:r>
        <w:t xml:space="preserve">40</w:t>
      </w:r>
    </w:p>
    <w:p>
      <w:pPr>
        <w:pStyle w:val="Compact"/>
      </w:pPr>
      <w:r>
        <w:t xml:space="preserve">600</w:t>
      </w:r>
    </w:p>
    <w:p>
      <w:pPr>
        <w:pStyle w:val="Compact"/>
      </w:pPr>
      <w:r>
        <w:t xml:space="preserve">400</w:t>
      </w:r>
    </w:p>
    <w:p>
      <w:pPr>
        <w:pStyle w:val="Compact"/>
      </w:pPr>
      <w:r>
        <w:t xml:space="preserve">24.0</w:t>
      </w:r>
    </w:p>
    <w:p>
      <w:pPr>
        <w:pStyle w:val="Compact"/>
      </w:pPr>
      <w:r>
        <w:t xml:space="preserve">0.5</w:t>
      </w:r>
    </w:p>
    <w:p>
      <w:pPr>
        <w:pStyle w:val="Compact"/>
      </w:pPr>
      <w:r>
        <w:t xml:space="preserve">12.00</w:t>
      </w:r>
    </w:p>
    <w:p>
      <w:pPr>
        <w:pStyle w:val="Compact"/>
      </w:pPr>
      <w:r>
        <w:t xml:space="preserve">16.0</w:t>
      </w:r>
    </w:p>
    <w:p>
      <w:pPr>
        <w:pStyle w:val="Compact"/>
      </w:pPr>
      <w:r>
        <w:t xml:space="preserve">1</w:t>
      </w:r>
    </w:p>
    <w:p>
      <w:pPr>
        <w:pStyle w:val="Compact"/>
      </w:pPr>
      <w:r>
        <w:t xml:space="preserve">16.0</w:t>
      </w:r>
    </w:p>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4: Table S7: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p>
      <w:pPr>
        <w:pStyle w:val="Compact"/>
      </w:pPr>
      <w:r>
        <w:t xml:space="preserve">quintile</w:t>
      </w:r>
    </w:p>
    <w:p>
      <w:pPr>
        <w:pStyle w:val="Compact"/>
      </w:pPr>
      <w:r>
        <w:t xml:space="preserve">pps hh bp</w:t>
      </w:r>
    </w:p>
    <w:p>
      <w:pPr>
        <w:pStyle w:val="Compact"/>
      </w:pPr>
      <w:r>
        <w:t xml:space="preserve">s1 (pps hh bp)</w:t>
      </w:r>
    </w:p>
    <w:p>
      <w:pPr>
        <w:pStyle w:val="Compact"/>
      </w:pPr>
      <w:r>
        <w:t xml:space="preserve">s1 (q share bp)</w:t>
      </w:r>
    </w:p>
    <w:p>
      <w:pPr>
        <w:pStyle w:val="Compact"/>
      </w:pPr>
      <w:r>
        <w:t xml:space="preserve">s2 (pps hh bp)</w:t>
      </w:r>
    </w:p>
    <w:p>
      <w:pPr>
        <w:pStyle w:val="Compact"/>
      </w:pPr>
      <w:r>
        <w:t xml:space="preserve">s2 (q share bp)</w:t>
      </w:r>
    </w:p>
    <w:p>
      <w:pPr>
        <w:pStyle w:val="Compact"/>
      </w:pPr>
      <w:r>
        <w:t xml:space="preserve">s1 (pm bp)</w:t>
      </w:r>
    </w:p>
    <w:p>
      <w:pPr>
        <w:pStyle w:val="Compact"/>
      </w:pPr>
      <w:r>
        <w:t xml:space="preserve">s2 (pm bp)</w:t>
      </w:r>
    </w:p>
    <w:p>
      <w:pPr>
        <w:pStyle w:val="Compact"/>
      </w:pPr>
      <w:r>
        <w:t xml:space="preserve">q1</w:t>
      </w:r>
    </w:p>
    <w:p>
      <w:pPr>
        <w:pStyle w:val="Compact"/>
      </w:pPr>
      <w:r>
        <w:t xml:space="preserve">9.00</w:t>
      </w:r>
    </w:p>
    <w:p>
      <w:pPr>
        <w:pStyle w:val="Compact"/>
      </w:pPr>
      <w:r>
        <w:t xml:space="preserve">1.00</w:t>
      </w:r>
    </w:p>
    <w:p>
      <w:pPr>
        <w:pStyle w:val="Compact"/>
      </w:pPr>
      <w:r>
        <w:t xml:space="preserve">0.0367647</w:t>
      </w:r>
    </w:p>
    <w:p>
      <w:pPr>
        <w:pStyle w:val="Compact"/>
      </w:pPr>
      <w:r>
        <w:t xml:space="preserve">8.0</w:t>
      </w:r>
    </w:p>
    <w:p>
      <w:pPr>
        <w:pStyle w:val="Compact"/>
      </w:pPr>
      <w:r>
        <w:t xml:space="preserve">0.1298701</w:t>
      </w:r>
    </w:p>
    <w:p>
      <w:pPr>
        <w:pStyle w:val="Compact"/>
      </w:pPr>
      <w:r>
        <w:t xml:space="preserve">111.1111</w:t>
      </w:r>
    </w:p>
    <w:p>
      <w:pPr>
        <w:pStyle w:val="Compact"/>
      </w:pPr>
      <w:r>
        <w:t xml:space="preserve">888.8889</w:t>
      </w:r>
    </w:p>
    <w:p>
      <w:pPr>
        <w:pStyle w:val="Compact"/>
      </w:pPr>
      <w:r>
        <w:t xml:space="preserve">q2</w:t>
      </w:r>
    </w:p>
    <w:p>
      <w:pPr>
        <w:pStyle w:val="Compact"/>
      </w:pPr>
      <w:r>
        <w:t xml:space="preserve">11.05</w:t>
      </w:r>
    </w:p>
    <w:p>
      <w:pPr>
        <w:pStyle w:val="Compact"/>
      </w:pPr>
      <w:r>
        <w:t xml:space="preserve">1.95</w:t>
      </w:r>
    </w:p>
    <w:p>
      <w:pPr>
        <w:pStyle w:val="Compact"/>
      </w:pPr>
      <w:r>
        <w:t xml:space="preserve">0.0716912</w:t>
      </w:r>
    </w:p>
    <w:p>
      <w:pPr>
        <w:pStyle w:val="Compact"/>
      </w:pPr>
      <w:r>
        <w:t xml:space="preserve">9.1</w:t>
      </w:r>
    </w:p>
    <w:p>
      <w:pPr>
        <w:pStyle w:val="Compact"/>
      </w:pPr>
      <w:r>
        <w:t xml:space="preserve">0.1477273</w:t>
      </w:r>
    </w:p>
    <w:p>
      <w:pPr>
        <w:pStyle w:val="Compact"/>
      </w:pPr>
      <w:r>
        <w:t xml:space="preserve">176.4706</w:t>
      </w:r>
    </w:p>
    <w:p>
      <w:pPr>
        <w:pStyle w:val="Compact"/>
      </w:pPr>
      <w:r>
        <w:t xml:space="preserve">823.5294</w:t>
      </w:r>
    </w:p>
    <w:p>
      <w:pPr>
        <w:pStyle w:val="Compact"/>
      </w:pPr>
      <w:r>
        <w:t xml:space="preserve">q3</w:t>
      </w:r>
    </w:p>
    <w:p>
      <w:pPr>
        <w:pStyle w:val="Compact"/>
      </w:pPr>
      <w:r>
        <w:t xml:space="preserve">16.00</w:t>
      </w:r>
    </w:p>
    <w:p>
      <w:pPr>
        <w:pStyle w:val="Compact"/>
      </w:pPr>
      <w:r>
        <w:t xml:space="preserve">4.00</w:t>
      </w:r>
    </w:p>
    <w:p>
      <w:pPr>
        <w:pStyle w:val="Compact"/>
      </w:pPr>
      <w:r>
        <w:t xml:space="preserve">0.1470588</w:t>
      </w:r>
    </w:p>
    <w:p>
      <w:pPr>
        <w:pStyle w:val="Compact"/>
      </w:pPr>
      <w:r>
        <w:t xml:space="preserve">12.0</w:t>
      </w:r>
    </w:p>
    <w:p>
      <w:pPr>
        <w:pStyle w:val="Compact"/>
      </w:pPr>
      <w:r>
        <w:t xml:space="preserve">0.1948052</w:t>
      </w:r>
    </w:p>
    <w:p>
      <w:pPr>
        <w:pStyle w:val="Compact"/>
      </w:pPr>
      <w:r>
        <w:t xml:space="preserve">250.0000</w:t>
      </w:r>
    </w:p>
    <w:p>
      <w:pPr>
        <w:pStyle w:val="Compact"/>
      </w:pPr>
      <w:r>
        <w:t xml:space="preserve">750.0000</w:t>
      </w:r>
    </w:p>
    <w:p>
      <w:pPr>
        <w:pStyle w:val="Compact"/>
      </w:pPr>
      <w:r>
        <w:t xml:space="preserve">q4</w:t>
      </w:r>
    </w:p>
    <w:p>
      <w:pPr>
        <w:pStyle w:val="Compact"/>
      </w:pPr>
      <w:r>
        <w:t xml:space="preserve">24.75</w:t>
      </w:r>
    </w:p>
    <w:p>
      <w:pPr>
        <w:pStyle w:val="Compact"/>
      </w:pPr>
      <w:r>
        <w:t xml:space="preserve">8.25</w:t>
      </w:r>
    </w:p>
    <w:p>
      <w:pPr>
        <w:pStyle w:val="Compact"/>
      </w:pPr>
      <w:r>
        <w:t xml:space="preserve">0.3033088</w:t>
      </w:r>
    </w:p>
    <w:p>
      <w:pPr>
        <w:pStyle w:val="Compact"/>
      </w:pPr>
      <w:r>
        <w:t xml:space="preserve">16.5</w:t>
      </w:r>
    </w:p>
    <w:p>
      <w:pPr>
        <w:pStyle w:val="Compact"/>
      </w:pPr>
      <w:r>
        <w:t xml:space="preserve">0.2678571</w:t>
      </w:r>
    </w:p>
    <w:p>
      <w:pPr>
        <w:pStyle w:val="Compact"/>
      </w:pPr>
      <w:r>
        <w:t xml:space="preserve">333.3333</w:t>
      </w:r>
    </w:p>
    <w:p>
      <w:pPr>
        <w:pStyle w:val="Compact"/>
      </w:pPr>
      <w:r>
        <w:t xml:space="preserve">666.6667</w:t>
      </w:r>
    </w:p>
    <w:p>
      <w:pPr>
        <w:pStyle w:val="Compact"/>
      </w:pPr>
      <w:r>
        <w:t xml:space="preserve">q5</w:t>
      </w:r>
    </w:p>
    <w:p>
      <w:pPr>
        <w:pStyle w:val="Compact"/>
      </w:pPr>
      <w:r>
        <w:t xml:space="preserve">28.00</w:t>
      </w:r>
    </w:p>
    <w:p>
      <w:pPr>
        <w:pStyle w:val="Compact"/>
      </w:pPr>
      <w:r>
        <w:t xml:space="preserve">12.00</w:t>
      </w:r>
    </w:p>
    <w:p>
      <w:pPr>
        <w:pStyle w:val="Compact"/>
      </w:pPr>
      <w:r>
        <w:t xml:space="preserve">0.4411765</w:t>
      </w:r>
    </w:p>
    <w:p>
      <w:pPr>
        <w:pStyle w:val="Compact"/>
      </w:pPr>
      <w:r>
        <w:t xml:space="preserve">16.0</w:t>
      </w:r>
    </w:p>
    <w:p>
      <w:pPr>
        <w:pStyle w:val="Compact"/>
      </w:pPr>
      <w:r>
        <w:t xml:space="preserve">0.2597403</w:t>
      </w:r>
    </w:p>
    <w:p>
      <w:pPr>
        <w:pStyle w:val="Compact"/>
      </w:pPr>
      <w:r>
        <w:t xml:space="preserve">428.5714</w:t>
      </w:r>
    </w:p>
    <w:p>
      <w:pPr>
        <w:pStyle w:val="Compact"/>
      </w:pPr>
      <w:r>
        <w:t xml:space="preserve">571.4286</w:t>
      </w:r>
    </w:p>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5: Table S8: Identical to Table S2.</w:t>
      </w:r>
    </w:p>
    <w:p>
      <w:pPr>
        <w:pStyle w:val="Compact"/>
      </w:pPr>
      <w:r>
        <w:t xml:space="preserve">sector</w:t>
      </w:r>
    </w:p>
    <w:p>
      <w:pPr>
        <w:pStyle w:val="Compact"/>
      </w:pPr>
      <w:r>
        <w:t xml:space="preserve">q1 share bp</w:t>
      </w:r>
    </w:p>
    <w:p>
      <w:pPr>
        <w:pStyle w:val="Compact"/>
      </w:pPr>
      <w:r>
        <w:t xml:space="preserve">q2 share bp</w:t>
      </w:r>
    </w:p>
    <w:p>
      <w:pPr>
        <w:pStyle w:val="Compact"/>
      </w:pPr>
      <w:r>
        <w:t xml:space="preserve">q3 share bp</w:t>
      </w:r>
    </w:p>
    <w:p>
      <w:pPr>
        <w:pStyle w:val="Compact"/>
      </w:pPr>
      <w:r>
        <w:t xml:space="preserve">q4 share bp</w:t>
      </w:r>
    </w:p>
    <w:p>
      <w:pPr>
        <w:pStyle w:val="Compact"/>
      </w:pPr>
      <w:r>
        <w:t xml:space="preserve">q5 share bp</w:t>
      </w:r>
    </w:p>
    <w:p>
      <w:pPr>
        <w:pStyle w:val="Compact"/>
      </w:pPr>
      <w:r>
        <w:t xml:space="preserve">eemrio hh fd</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1</w:t>
      </w:r>
    </w:p>
    <w:p>
      <w:pPr>
        <w:pStyle w:val="Compact"/>
      </w:pPr>
      <w:r>
        <w:t xml:space="preserve">0.0367647</w:t>
      </w:r>
    </w:p>
    <w:p>
      <w:pPr>
        <w:pStyle w:val="Compact"/>
      </w:pPr>
      <w:r>
        <w:t xml:space="preserve">0.0716912</w:t>
      </w:r>
    </w:p>
    <w:p>
      <w:pPr>
        <w:pStyle w:val="Compact"/>
      </w:pPr>
      <w:r>
        <w:t xml:space="preserve">0.1470588</w:t>
      </w:r>
    </w:p>
    <w:p>
      <w:pPr>
        <w:pStyle w:val="Compact"/>
      </w:pPr>
      <w:r>
        <w:t xml:space="preserve">0.3033088</w:t>
      </w:r>
    </w:p>
    <w:p>
      <w:pPr>
        <w:pStyle w:val="Compact"/>
      </w:pPr>
      <w:r>
        <w:t xml:space="preserve">0.4411765</w:t>
      </w:r>
    </w:p>
    <w:p>
      <w:pPr>
        <w:pStyle w:val="Compact"/>
      </w:pPr>
      <w:r>
        <w:t xml:space="preserve">300</w:t>
      </w:r>
    </w:p>
    <w:p>
      <w:pPr>
        <w:pStyle w:val="Compact"/>
      </w:pPr>
      <w:r>
        <w:t xml:space="preserve">11.02941</w:t>
      </w:r>
    </w:p>
    <w:p>
      <w:pPr>
        <w:pStyle w:val="Compact"/>
      </w:pPr>
      <w:r>
        <w:t xml:space="preserve">21.50735</w:t>
      </w:r>
    </w:p>
    <w:p>
      <w:pPr>
        <w:pStyle w:val="Compact"/>
      </w:pPr>
      <w:r>
        <w:t xml:space="preserve">44.11765</w:t>
      </w:r>
    </w:p>
    <w:p>
      <w:pPr>
        <w:pStyle w:val="Compact"/>
      </w:pPr>
      <w:r>
        <w:t xml:space="preserve">90.99265</w:t>
      </w:r>
    </w:p>
    <w:p>
      <w:pPr>
        <w:pStyle w:val="Compact"/>
      </w:pPr>
      <w:r>
        <w:t xml:space="preserve">132.3529</w:t>
      </w:r>
    </w:p>
    <w:p>
      <w:pPr>
        <w:pStyle w:val="Compact"/>
      </w:pPr>
      <w:r>
        <w:t xml:space="preserve">2</w:t>
      </w:r>
    </w:p>
    <w:p>
      <w:pPr>
        <w:pStyle w:val="Compact"/>
      </w:pPr>
      <w:r>
        <w:t xml:space="preserve">0.1298701</w:t>
      </w:r>
    </w:p>
    <w:p>
      <w:pPr>
        <w:pStyle w:val="Compact"/>
      </w:pPr>
      <w:r>
        <w:t xml:space="preserve">0.1477273</w:t>
      </w:r>
    </w:p>
    <w:p>
      <w:pPr>
        <w:pStyle w:val="Compact"/>
      </w:pPr>
      <w:r>
        <w:t xml:space="preserve">0.1948052</w:t>
      </w:r>
    </w:p>
    <w:p>
      <w:pPr>
        <w:pStyle w:val="Compact"/>
      </w:pPr>
      <w:r>
        <w:t xml:space="preserve">0.2678571</w:t>
      </w:r>
    </w:p>
    <w:p>
      <w:pPr>
        <w:pStyle w:val="Compact"/>
      </w:pPr>
      <w:r>
        <w:t xml:space="preserve">0.2597403</w:t>
      </w:r>
    </w:p>
    <w:p>
      <w:pPr>
        <w:pStyle w:val="Compact"/>
      </w:pPr>
      <w:r>
        <w:t xml:space="preserve">800</w:t>
      </w:r>
    </w:p>
    <w:p>
      <w:pPr>
        <w:pStyle w:val="Compact"/>
      </w:pPr>
      <w:r>
        <w:t xml:space="preserve">103.89610</w:t>
      </w:r>
    </w:p>
    <w:p>
      <w:pPr>
        <w:pStyle w:val="Compact"/>
      </w:pPr>
      <w:r>
        <w:t xml:space="preserve">118.18182</w:t>
      </w:r>
    </w:p>
    <w:p>
      <w:pPr>
        <w:pStyle w:val="Compact"/>
      </w:pPr>
      <w:r>
        <w:t xml:space="preserve">155.84416</w:t>
      </w:r>
    </w:p>
    <w:p>
      <w:pPr>
        <w:pStyle w:val="Compact"/>
      </w:pPr>
      <w:r>
        <w:t xml:space="preserve">214.28571</w:t>
      </w:r>
    </w:p>
    <w:p>
      <w:pPr>
        <w:pStyle w:val="Compact"/>
      </w:pPr>
      <w:r>
        <w:t xml:space="preserve">207.7922</w:t>
      </w:r>
    </w:p>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6: Table S9: Same as Table S1 but now</w:t>
      </w:r>
      <w:r>
        <w:t xml:space="preserve"> </w:t>
      </w:r>
      <w:r>
        <w:t xml:space="preserve">with base price shares of purchaser price per sector, and</w:t>
      </w:r>
      <w:r>
        <w:t xml:space="preserve"> </w:t>
      </w:r>
      <w:r>
        <w:t xml:space="preserve">sectoral expenditure per income quintile in pps hh base price.</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s1 (pps hh)</w:t>
      </w:r>
    </w:p>
    <w:p>
      <w:pPr>
        <w:pStyle w:val="Compact"/>
      </w:pPr>
      <w:r>
        <w:t xml:space="preserve">s1 bp</w:t>
      </w:r>
    </w:p>
    <w:p>
      <w:pPr>
        <w:pStyle w:val="Compact"/>
      </w:pPr>
      <w:r>
        <w:t xml:space="preserve">s1 (pps hh bp)</w:t>
      </w:r>
    </w:p>
    <w:p>
      <w:pPr>
        <w:pStyle w:val="Compact"/>
      </w:pPr>
      <w:r>
        <w:t xml:space="preserve">s2 (pps hh)</w:t>
      </w:r>
    </w:p>
    <w:p>
      <w:pPr>
        <w:pStyle w:val="Compact"/>
      </w:pPr>
      <w:r>
        <w:t xml:space="preserve">s2 bp</w:t>
      </w:r>
    </w:p>
    <w:p>
      <w:pPr>
        <w:pStyle w:val="Compact"/>
      </w:pPr>
      <w:r>
        <w:t xml:space="preserve">s2 (pps hh bp)</w:t>
      </w:r>
    </w:p>
    <w:p>
      <w:pPr>
        <w:pStyle w:val="Compact"/>
      </w:pPr>
      <w:r>
        <w:t xml:space="preserve">q1</w:t>
      </w:r>
    </w:p>
    <w:p>
      <w:pPr>
        <w:pStyle w:val="Compact"/>
      </w:pPr>
      <w:r>
        <w:t xml:space="preserve">10</w:t>
      </w:r>
    </w:p>
    <w:p>
      <w:pPr>
        <w:pStyle w:val="Compact"/>
      </w:pPr>
      <w:r>
        <w:t xml:space="preserve">200</w:t>
      </w:r>
    </w:p>
    <w:p>
      <w:pPr>
        <w:pStyle w:val="Compact"/>
      </w:pPr>
      <w:r>
        <w:t xml:space="preserve">800</w:t>
      </w:r>
    </w:p>
    <w:p>
      <w:pPr>
        <w:pStyle w:val="Compact"/>
      </w:pPr>
      <w:r>
        <w:t xml:space="preserve">2.0</w:t>
      </w:r>
    </w:p>
    <w:p>
      <w:pPr>
        <w:pStyle w:val="Compact"/>
      </w:pPr>
      <w:r>
        <w:t xml:space="preserve">0.5</w:t>
      </w:r>
    </w:p>
    <w:p>
      <w:pPr>
        <w:pStyle w:val="Compact"/>
      </w:pPr>
      <w:r>
        <w:t xml:space="preserve">1.00</w:t>
      </w:r>
    </w:p>
    <w:p>
      <w:pPr>
        <w:pStyle w:val="Compact"/>
      </w:pPr>
      <w:r>
        <w:t xml:space="preserve">8.0</w:t>
      </w:r>
    </w:p>
    <w:p>
      <w:pPr>
        <w:pStyle w:val="Compact"/>
      </w:pPr>
      <w:r>
        <w:t xml:space="preserve">1</w:t>
      </w:r>
    </w:p>
    <w:p>
      <w:pPr>
        <w:pStyle w:val="Compact"/>
      </w:pPr>
      <w:r>
        <w:t xml:space="preserve">8.0</w:t>
      </w:r>
    </w:p>
    <w:p>
      <w:pPr>
        <w:pStyle w:val="Compact"/>
      </w:pPr>
      <w:r>
        <w:t xml:space="preserve">q2</w:t>
      </w:r>
    </w:p>
    <w:p>
      <w:pPr>
        <w:pStyle w:val="Compact"/>
      </w:pPr>
      <w:r>
        <w:t xml:space="preserve">13</w:t>
      </w:r>
    </w:p>
    <w:p>
      <w:pPr>
        <w:pStyle w:val="Compact"/>
      </w:pPr>
      <w:r>
        <w:t xml:space="preserve">300</w:t>
      </w:r>
    </w:p>
    <w:p>
      <w:pPr>
        <w:pStyle w:val="Compact"/>
      </w:pPr>
      <w:r>
        <w:t xml:space="preserve">700</w:t>
      </w:r>
    </w:p>
    <w:p>
      <w:pPr>
        <w:pStyle w:val="Compact"/>
      </w:pPr>
      <w:r>
        <w:t xml:space="preserve">3.9</w:t>
      </w:r>
    </w:p>
    <w:p>
      <w:pPr>
        <w:pStyle w:val="Compact"/>
      </w:pPr>
      <w:r>
        <w:t xml:space="preserve">0.5</w:t>
      </w:r>
    </w:p>
    <w:p>
      <w:pPr>
        <w:pStyle w:val="Compact"/>
      </w:pPr>
      <w:r>
        <w:t xml:space="preserve">1.95</w:t>
      </w:r>
    </w:p>
    <w:p>
      <w:pPr>
        <w:pStyle w:val="Compact"/>
      </w:pPr>
      <w:r>
        <w:t xml:space="preserve">9.1</w:t>
      </w:r>
    </w:p>
    <w:p>
      <w:pPr>
        <w:pStyle w:val="Compact"/>
      </w:pPr>
      <w:r>
        <w:t xml:space="preserve">1</w:t>
      </w:r>
    </w:p>
    <w:p>
      <w:pPr>
        <w:pStyle w:val="Compact"/>
      </w:pPr>
      <w:r>
        <w:t xml:space="preserve">9.1</w:t>
      </w:r>
    </w:p>
    <w:p>
      <w:pPr>
        <w:pStyle w:val="Compact"/>
      </w:pPr>
      <w:r>
        <w:t xml:space="preserve">q3</w:t>
      </w:r>
    </w:p>
    <w:p>
      <w:pPr>
        <w:pStyle w:val="Compact"/>
      </w:pPr>
      <w:r>
        <w:t xml:space="preserve">20</w:t>
      </w:r>
    </w:p>
    <w:p>
      <w:pPr>
        <w:pStyle w:val="Compact"/>
      </w:pPr>
      <w:r>
        <w:t xml:space="preserve">400</w:t>
      </w:r>
    </w:p>
    <w:p>
      <w:pPr>
        <w:pStyle w:val="Compact"/>
      </w:pPr>
      <w:r>
        <w:t xml:space="preserve">600</w:t>
      </w:r>
    </w:p>
    <w:p>
      <w:pPr>
        <w:pStyle w:val="Compact"/>
      </w:pPr>
      <w:r>
        <w:t xml:space="preserve">8.0</w:t>
      </w:r>
    </w:p>
    <w:p>
      <w:pPr>
        <w:pStyle w:val="Compact"/>
      </w:pPr>
      <w:r>
        <w:t xml:space="preserve">0.5</w:t>
      </w:r>
    </w:p>
    <w:p>
      <w:pPr>
        <w:pStyle w:val="Compact"/>
      </w:pPr>
      <w:r>
        <w:t xml:space="preserve">4.00</w:t>
      </w:r>
    </w:p>
    <w:p>
      <w:pPr>
        <w:pStyle w:val="Compact"/>
      </w:pPr>
      <w:r>
        <w:t xml:space="preserve">12.0</w:t>
      </w:r>
    </w:p>
    <w:p>
      <w:pPr>
        <w:pStyle w:val="Compact"/>
      </w:pPr>
      <w:r>
        <w:t xml:space="preserve">1</w:t>
      </w:r>
    </w:p>
    <w:p>
      <w:pPr>
        <w:pStyle w:val="Compact"/>
      </w:pPr>
      <w:r>
        <w:t xml:space="preserve">12.0</w:t>
      </w:r>
    </w:p>
    <w:p>
      <w:pPr>
        <w:pStyle w:val="Compact"/>
      </w:pPr>
      <w:r>
        <w:t xml:space="preserve">q4</w:t>
      </w:r>
    </w:p>
    <w:p>
      <w:pPr>
        <w:pStyle w:val="Compact"/>
      </w:pPr>
      <w:r>
        <w:t xml:space="preserve">33</w:t>
      </w:r>
    </w:p>
    <w:p>
      <w:pPr>
        <w:pStyle w:val="Compact"/>
      </w:pPr>
      <w:r>
        <w:t xml:space="preserve">500</w:t>
      </w:r>
    </w:p>
    <w:p>
      <w:pPr>
        <w:pStyle w:val="Compact"/>
      </w:pPr>
      <w:r>
        <w:t xml:space="preserve">500</w:t>
      </w:r>
    </w:p>
    <w:p>
      <w:pPr>
        <w:pStyle w:val="Compact"/>
      </w:pPr>
      <w:r>
        <w:t xml:space="preserve">16.5</w:t>
      </w:r>
    </w:p>
    <w:p>
      <w:pPr>
        <w:pStyle w:val="Compact"/>
      </w:pPr>
      <w:r>
        <w:t xml:space="preserve">0.5</w:t>
      </w:r>
    </w:p>
    <w:p>
      <w:pPr>
        <w:pStyle w:val="Compact"/>
      </w:pPr>
      <w:r>
        <w:t xml:space="preserve">8.25</w:t>
      </w:r>
    </w:p>
    <w:p>
      <w:pPr>
        <w:pStyle w:val="Compact"/>
      </w:pPr>
      <w:r>
        <w:t xml:space="preserve">16.5</w:t>
      </w:r>
    </w:p>
    <w:p>
      <w:pPr>
        <w:pStyle w:val="Compact"/>
      </w:pPr>
      <w:r>
        <w:t xml:space="preserve">1</w:t>
      </w:r>
    </w:p>
    <w:p>
      <w:pPr>
        <w:pStyle w:val="Compact"/>
      </w:pPr>
      <w:r>
        <w:t xml:space="preserve">16.5</w:t>
      </w:r>
    </w:p>
    <w:p>
      <w:pPr>
        <w:pStyle w:val="Compact"/>
      </w:pPr>
      <w:r>
        <w:t xml:space="preserve">q5</w:t>
      </w:r>
    </w:p>
    <w:p>
      <w:pPr>
        <w:pStyle w:val="Compact"/>
      </w:pPr>
      <w:r>
        <w:t xml:space="preserve">40</w:t>
      </w:r>
    </w:p>
    <w:p>
      <w:pPr>
        <w:pStyle w:val="Compact"/>
      </w:pPr>
      <w:r>
        <w:t xml:space="preserve">600</w:t>
      </w:r>
    </w:p>
    <w:p>
      <w:pPr>
        <w:pStyle w:val="Compact"/>
      </w:pPr>
      <w:r>
        <w:t xml:space="preserve">400</w:t>
      </w:r>
    </w:p>
    <w:p>
      <w:pPr>
        <w:pStyle w:val="Compact"/>
      </w:pPr>
      <w:r>
        <w:t xml:space="preserve">24.0</w:t>
      </w:r>
    </w:p>
    <w:p>
      <w:pPr>
        <w:pStyle w:val="Compact"/>
      </w:pPr>
      <w:r>
        <w:t xml:space="preserve">0.5</w:t>
      </w:r>
    </w:p>
    <w:p>
      <w:pPr>
        <w:pStyle w:val="Compact"/>
      </w:pPr>
      <w:r>
        <w:t xml:space="preserve">12.00</w:t>
      </w:r>
    </w:p>
    <w:p>
      <w:pPr>
        <w:pStyle w:val="Compact"/>
      </w:pPr>
      <w:r>
        <w:t xml:space="preserve">16.0</w:t>
      </w:r>
    </w:p>
    <w:p>
      <w:pPr>
        <w:pStyle w:val="Compact"/>
      </w:pPr>
      <w:r>
        <w:t xml:space="preserve">1</w:t>
      </w:r>
    </w:p>
    <w:p>
      <w:pPr>
        <w:pStyle w:val="Compact"/>
      </w:pPr>
      <w:r>
        <w:t xml:space="preserve">16.0</w:t>
      </w:r>
    </w:p>
    <w:p>
      <w:pPr>
        <w:pStyle w:val="Compact"/>
      </w:pPr>
      <w:r>
        <w:t xml:space="preserve">Table 7: Table S10: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p>
      <w:pPr>
        <w:pStyle w:val="Compact"/>
      </w:pPr>
      <w:r>
        <w:t xml:space="preserve">quintile</w:t>
      </w:r>
    </w:p>
    <w:p>
      <w:pPr>
        <w:pStyle w:val="Compact"/>
      </w:pPr>
      <w:r>
        <w:t xml:space="preserve">pps hh bp</w:t>
      </w:r>
    </w:p>
    <w:p>
      <w:pPr>
        <w:pStyle w:val="Compact"/>
      </w:pPr>
      <w:r>
        <w:t xml:space="preserve">s1 (pps hh bp)</w:t>
      </w:r>
    </w:p>
    <w:p>
      <w:pPr>
        <w:pStyle w:val="Compact"/>
      </w:pPr>
      <w:r>
        <w:t xml:space="preserve">s2 (pps hh bp)</w:t>
      </w:r>
    </w:p>
    <w:p>
      <w:pPr>
        <w:pStyle w:val="Compact"/>
      </w:pPr>
      <w:r>
        <w:t xml:space="preserve">s1 (pm bp)</w:t>
      </w:r>
    </w:p>
    <w:p>
      <w:pPr>
        <w:pStyle w:val="Compact"/>
      </w:pPr>
      <w:r>
        <w:t xml:space="preserve">s2 (pm bp)</w:t>
      </w:r>
    </w:p>
    <w:p>
      <w:pPr>
        <w:pStyle w:val="Compact"/>
      </w:pPr>
      <w:r>
        <w:t xml:space="preserve">q1</w:t>
      </w:r>
    </w:p>
    <w:p>
      <w:pPr>
        <w:pStyle w:val="Compact"/>
      </w:pPr>
      <w:r>
        <w:t xml:space="preserve">9.00</w:t>
      </w:r>
    </w:p>
    <w:p>
      <w:pPr>
        <w:pStyle w:val="Compact"/>
      </w:pPr>
      <w:r>
        <w:t xml:space="preserve">1.00</w:t>
      </w:r>
    </w:p>
    <w:p>
      <w:pPr>
        <w:pStyle w:val="Compact"/>
      </w:pPr>
      <w:r>
        <w:t xml:space="preserve">8.0</w:t>
      </w:r>
    </w:p>
    <w:p>
      <w:pPr>
        <w:pStyle w:val="Compact"/>
      </w:pPr>
      <w:r>
        <w:t xml:space="preserve">111.1111</w:t>
      </w:r>
    </w:p>
    <w:p>
      <w:pPr>
        <w:pStyle w:val="Compact"/>
      </w:pPr>
      <w:r>
        <w:t xml:space="preserve">888.8889</w:t>
      </w:r>
    </w:p>
    <w:p>
      <w:pPr>
        <w:pStyle w:val="Compact"/>
      </w:pPr>
      <w:r>
        <w:t xml:space="preserve">q2</w:t>
      </w:r>
    </w:p>
    <w:p>
      <w:pPr>
        <w:pStyle w:val="Compact"/>
      </w:pPr>
      <w:r>
        <w:t xml:space="preserve">11.05</w:t>
      </w:r>
    </w:p>
    <w:p>
      <w:pPr>
        <w:pStyle w:val="Compact"/>
      </w:pPr>
      <w:r>
        <w:t xml:space="preserve">1.95</w:t>
      </w:r>
    </w:p>
    <w:p>
      <w:pPr>
        <w:pStyle w:val="Compact"/>
      </w:pPr>
      <w:r>
        <w:t xml:space="preserve">9.1</w:t>
      </w:r>
    </w:p>
    <w:p>
      <w:pPr>
        <w:pStyle w:val="Compact"/>
      </w:pPr>
      <w:r>
        <w:t xml:space="preserve">176.4706</w:t>
      </w:r>
    </w:p>
    <w:p>
      <w:pPr>
        <w:pStyle w:val="Compact"/>
      </w:pPr>
      <w:r>
        <w:t xml:space="preserve">823.5294</w:t>
      </w:r>
    </w:p>
    <w:p>
      <w:pPr>
        <w:pStyle w:val="Compact"/>
      </w:pPr>
      <w:r>
        <w:t xml:space="preserve">q3</w:t>
      </w:r>
    </w:p>
    <w:p>
      <w:pPr>
        <w:pStyle w:val="Compact"/>
      </w:pPr>
      <w:r>
        <w:t xml:space="preserve">16.00</w:t>
      </w:r>
    </w:p>
    <w:p>
      <w:pPr>
        <w:pStyle w:val="Compact"/>
      </w:pPr>
      <w:r>
        <w:t xml:space="preserve">4.00</w:t>
      </w:r>
    </w:p>
    <w:p>
      <w:pPr>
        <w:pStyle w:val="Compact"/>
      </w:pPr>
      <w:r>
        <w:t xml:space="preserve">12.0</w:t>
      </w:r>
    </w:p>
    <w:p>
      <w:pPr>
        <w:pStyle w:val="Compact"/>
      </w:pPr>
      <w:r>
        <w:t xml:space="preserve">250.0000</w:t>
      </w:r>
    </w:p>
    <w:p>
      <w:pPr>
        <w:pStyle w:val="Compact"/>
      </w:pPr>
      <w:r>
        <w:t xml:space="preserve">750.0000</w:t>
      </w:r>
    </w:p>
    <w:p>
      <w:pPr>
        <w:pStyle w:val="Compact"/>
      </w:pPr>
      <w:r>
        <w:t xml:space="preserve">q4</w:t>
      </w:r>
    </w:p>
    <w:p>
      <w:pPr>
        <w:pStyle w:val="Compact"/>
      </w:pPr>
      <w:r>
        <w:t xml:space="preserve">24.75</w:t>
      </w:r>
    </w:p>
    <w:p>
      <w:pPr>
        <w:pStyle w:val="Compact"/>
      </w:pPr>
      <w:r>
        <w:t xml:space="preserve">8.25</w:t>
      </w:r>
    </w:p>
    <w:p>
      <w:pPr>
        <w:pStyle w:val="Compact"/>
      </w:pPr>
      <w:r>
        <w:t xml:space="preserve">16.5</w:t>
      </w:r>
    </w:p>
    <w:p>
      <w:pPr>
        <w:pStyle w:val="Compact"/>
      </w:pPr>
      <w:r>
        <w:t xml:space="preserve">333.3333</w:t>
      </w:r>
    </w:p>
    <w:p>
      <w:pPr>
        <w:pStyle w:val="Compact"/>
      </w:pPr>
      <w:r>
        <w:t xml:space="preserve">666.6667</w:t>
      </w:r>
    </w:p>
    <w:p>
      <w:pPr>
        <w:pStyle w:val="Compact"/>
      </w:pPr>
      <w:r>
        <w:t xml:space="preserve">q5</w:t>
      </w:r>
    </w:p>
    <w:p>
      <w:pPr>
        <w:pStyle w:val="Compact"/>
      </w:pPr>
      <w:r>
        <w:t xml:space="preserve">28.00</w:t>
      </w:r>
    </w:p>
    <w:p>
      <w:pPr>
        <w:pStyle w:val="Compact"/>
      </w:pPr>
      <w:r>
        <w:t xml:space="preserve">12.00</w:t>
      </w:r>
    </w:p>
    <w:p>
      <w:pPr>
        <w:pStyle w:val="Compact"/>
      </w:pPr>
      <w:r>
        <w:t xml:space="preserve">16.0</w:t>
      </w:r>
    </w:p>
    <w:p>
      <w:pPr>
        <w:pStyle w:val="Compact"/>
      </w:pPr>
      <w:r>
        <w:t xml:space="preserve">428.5714</w:t>
      </w:r>
    </w:p>
    <w:p>
      <w:pPr>
        <w:pStyle w:val="Compact"/>
      </w:pPr>
      <w:r>
        <w:t xml:space="preserve">571.4286</w:t>
      </w:r>
    </w:p>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8: Table S11: Same as Table S9 but</w:t>
      </w:r>
      <w:r>
        <w:t xml:space="preserve"> </w:t>
      </w:r>
      <w:r>
        <w:t xml:space="preserve">with total EE-MRIO household final demand in purchaser price</w:t>
      </w:r>
      <w:r>
        <w:t xml:space="preserve"> </w:t>
      </w:r>
      <w:r>
        <w:t xml:space="preserve">instead of base price.</w:t>
      </w:r>
    </w:p>
    <w:p>
      <w:pPr>
        <w:pStyle w:val="Compact"/>
      </w:pPr>
      <w:r>
        <w:t xml:space="preserve">quintile</w:t>
      </w:r>
    </w:p>
    <w:p>
      <w:pPr>
        <w:pStyle w:val="Compact"/>
      </w:pPr>
      <w:r>
        <w:t xml:space="preserve">pps hh</w:t>
      </w:r>
    </w:p>
    <w:p>
      <w:pPr>
        <w:pStyle w:val="Compact"/>
      </w:pPr>
      <w:r>
        <w:t xml:space="preserve">s1 (pm)</w:t>
      </w:r>
    </w:p>
    <w:p>
      <w:pPr>
        <w:pStyle w:val="Compact"/>
      </w:pPr>
      <w:r>
        <w:t xml:space="preserve">s2 (pm)</w:t>
      </w:r>
    </w:p>
    <w:p>
      <w:pPr>
        <w:pStyle w:val="Compact"/>
      </w:pPr>
      <w:r>
        <w:t xml:space="preserve">mean exp</w:t>
      </w:r>
    </w:p>
    <w:p>
      <w:pPr>
        <w:pStyle w:val="Compact"/>
      </w:pPr>
      <w:r>
        <w:t xml:space="preserve">eemrio hh fd</w:t>
      </w:r>
    </w:p>
    <w:p>
      <w:pPr>
        <w:pStyle w:val="Compact"/>
      </w:pPr>
      <w:r>
        <w:t xml:space="preserve">hh fd s1</w:t>
      </w:r>
    </w:p>
    <w:p>
      <w:pPr>
        <w:pStyle w:val="Compact"/>
      </w:pPr>
      <w:r>
        <w:t xml:space="preserve">hh fd s2</w:t>
      </w:r>
    </w:p>
    <w:p>
      <w:pPr>
        <w:pStyle w:val="Compact"/>
      </w:pPr>
      <w:r>
        <w:t xml:space="preserve">q1</w:t>
      </w:r>
    </w:p>
    <w:p>
      <w:pPr>
        <w:pStyle w:val="Compact"/>
      </w:pPr>
      <w:r>
        <w:t xml:space="preserve">9</w:t>
      </w:r>
    </w:p>
    <w:p>
      <w:pPr>
        <w:pStyle w:val="Compact"/>
      </w:pPr>
      <w:r>
        <w:t xml:space="preserve">111</w:t>
      </w:r>
    </w:p>
    <w:p>
      <w:pPr>
        <w:pStyle w:val="Compact"/>
      </w:pPr>
      <w:r>
        <w:t xml:space="preserve">889</w:t>
      </w:r>
    </w:p>
    <w:p>
      <w:pPr>
        <w:pStyle w:val="Compact"/>
      </w:pPr>
      <w:r>
        <w:t xml:space="preserve">0.1011236</w:t>
      </w:r>
    </w:p>
    <w:p>
      <w:pPr>
        <w:pStyle w:val="Compact"/>
      </w:pPr>
      <w:r>
        <w:t xml:space="preserve">111.2360</w:t>
      </w:r>
    </w:p>
    <w:p>
      <w:pPr>
        <w:pStyle w:val="Compact"/>
      </w:pPr>
      <w:r>
        <w:t xml:space="preserve">12.34719</w:t>
      </w:r>
    </w:p>
    <w:p>
      <w:pPr>
        <w:pStyle w:val="Compact"/>
      </w:pPr>
      <w:r>
        <w:t xml:space="preserve">98.88876</w:t>
      </w:r>
    </w:p>
    <w:p>
      <w:pPr>
        <w:pStyle w:val="Compact"/>
      </w:pPr>
      <w:r>
        <w:t xml:space="preserve">q2</w:t>
      </w:r>
    </w:p>
    <w:p>
      <w:pPr>
        <w:pStyle w:val="Compact"/>
      </w:pPr>
      <w:r>
        <w:t xml:space="preserve">11</w:t>
      </w:r>
    </w:p>
    <w:p>
      <w:pPr>
        <w:pStyle w:val="Compact"/>
      </w:pPr>
      <w:r>
        <w:t xml:space="preserve">176</w:t>
      </w:r>
    </w:p>
    <w:p>
      <w:pPr>
        <w:pStyle w:val="Compact"/>
      </w:pPr>
      <w:r>
        <w:t xml:space="preserve">824</w:t>
      </w:r>
    </w:p>
    <w:p>
      <w:pPr>
        <w:pStyle w:val="Compact"/>
      </w:pPr>
      <w:r>
        <w:t xml:space="preserve">0.1235955</w:t>
      </w:r>
    </w:p>
    <w:p>
      <w:pPr>
        <w:pStyle w:val="Compact"/>
      </w:pPr>
      <w:r>
        <w:t xml:space="preserve">135.9551</w:t>
      </w:r>
    </w:p>
    <w:p>
      <w:pPr>
        <w:pStyle w:val="Compact"/>
      </w:pPr>
      <w:r>
        <w:t xml:space="preserve">23.92809</w:t>
      </w:r>
    </w:p>
    <w:p>
      <w:pPr>
        <w:pStyle w:val="Compact"/>
      </w:pPr>
      <w:r>
        <w:t xml:space="preserve">112.02697</w:t>
      </w:r>
    </w:p>
    <w:p>
      <w:pPr>
        <w:pStyle w:val="Compact"/>
      </w:pPr>
      <w:r>
        <w:t xml:space="preserve">q3</w:t>
      </w:r>
    </w:p>
    <w:p>
      <w:pPr>
        <w:pStyle w:val="Compact"/>
      </w:pPr>
      <w:r>
        <w:t xml:space="preserve">16</w:t>
      </w:r>
    </w:p>
    <w:p>
      <w:pPr>
        <w:pStyle w:val="Compact"/>
      </w:pPr>
      <w:r>
        <w:t xml:space="preserve">250</w:t>
      </w:r>
    </w:p>
    <w:p>
      <w:pPr>
        <w:pStyle w:val="Compact"/>
      </w:pPr>
      <w:r>
        <w:t xml:space="preserve">750</w:t>
      </w:r>
    </w:p>
    <w:p>
      <w:pPr>
        <w:pStyle w:val="Compact"/>
      </w:pPr>
      <w:r>
        <w:t xml:space="preserve">0.1797753</w:t>
      </w:r>
    </w:p>
    <w:p>
      <w:pPr>
        <w:pStyle w:val="Compact"/>
      </w:pPr>
      <w:r>
        <w:t xml:space="preserve">197.7528</w:t>
      </w:r>
    </w:p>
    <w:p>
      <w:pPr>
        <w:pStyle w:val="Compact"/>
      </w:pPr>
      <w:r>
        <w:t xml:space="preserve">49.43820</w:t>
      </w:r>
    </w:p>
    <w:p>
      <w:pPr>
        <w:pStyle w:val="Compact"/>
      </w:pPr>
      <w:r>
        <w:t xml:space="preserve">148.31461</w:t>
      </w:r>
    </w:p>
    <w:p>
      <w:pPr>
        <w:pStyle w:val="Compact"/>
      </w:pPr>
      <w:r>
        <w:t xml:space="preserve">q4</w:t>
      </w:r>
    </w:p>
    <w:p>
      <w:pPr>
        <w:pStyle w:val="Compact"/>
      </w:pPr>
      <w:r>
        <w:t xml:space="preserve">25</w:t>
      </w:r>
    </w:p>
    <w:p>
      <w:pPr>
        <w:pStyle w:val="Compact"/>
      </w:pPr>
      <w:r>
        <w:t xml:space="preserve">333</w:t>
      </w:r>
    </w:p>
    <w:p>
      <w:pPr>
        <w:pStyle w:val="Compact"/>
      </w:pPr>
      <w:r>
        <w:t xml:space="preserve">667</w:t>
      </w:r>
    </w:p>
    <w:p>
      <w:pPr>
        <w:pStyle w:val="Compact"/>
      </w:pPr>
      <w:r>
        <w:t xml:space="preserve">0.2808989</w:t>
      </w:r>
    </w:p>
    <w:p>
      <w:pPr>
        <w:pStyle w:val="Compact"/>
      </w:pPr>
      <w:r>
        <w:t xml:space="preserve">308.9888</w:t>
      </w:r>
    </w:p>
    <w:p>
      <w:pPr>
        <w:pStyle w:val="Compact"/>
      </w:pPr>
      <w:r>
        <w:t xml:space="preserve">102.89326</w:t>
      </w:r>
    </w:p>
    <w:p>
      <w:pPr>
        <w:pStyle w:val="Compact"/>
      </w:pPr>
      <w:r>
        <w:t xml:space="preserve">206.09551</w:t>
      </w:r>
    </w:p>
    <w:p>
      <w:pPr>
        <w:pStyle w:val="Compact"/>
      </w:pPr>
      <w:r>
        <w:t xml:space="preserve">q5</w:t>
      </w:r>
    </w:p>
    <w:p>
      <w:pPr>
        <w:pStyle w:val="Compact"/>
      </w:pPr>
      <w:r>
        <w:t xml:space="preserve">28</w:t>
      </w:r>
    </w:p>
    <w:p>
      <w:pPr>
        <w:pStyle w:val="Compact"/>
      </w:pPr>
      <w:r>
        <w:t xml:space="preserve">429</w:t>
      </w:r>
    </w:p>
    <w:p>
      <w:pPr>
        <w:pStyle w:val="Compact"/>
      </w:pPr>
      <w:r>
        <w:t xml:space="preserve">571</w:t>
      </w:r>
    </w:p>
    <w:p>
      <w:pPr>
        <w:pStyle w:val="Compact"/>
      </w:pPr>
      <w:r>
        <w:t xml:space="preserve">0.3146067</w:t>
      </w:r>
    </w:p>
    <w:p>
      <w:pPr>
        <w:pStyle w:val="Compact"/>
      </w:pPr>
      <w:r>
        <w:t xml:space="preserve">346.0674</w:t>
      </w:r>
    </w:p>
    <w:p>
      <w:pPr>
        <w:pStyle w:val="Compact"/>
      </w:pPr>
      <w:r>
        <w:t xml:space="preserve">148.46292</w:t>
      </w:r>
    </w:p>
    <w:p>
      <w:pPr>
        <w:pStyle w:val="Compact"/>
      </w:pPr>
      <w:r>
        <w:t xml:space="preserve">197.60449</w:t>
      </w:r>
    </w:p>
    <w:p>
      <w:pPr>
        <w:pStyle w:val="BodyText"/>
      </w:pPr>
      <w:r>
        <w:t xml:space="preserve">Table S12 shows that we then have our EE-MRIO household final demand expenditure decomposed by income quintile.</w:t>
      </w:r>
    </w:p>
    <w:p>
      <w:pPr>
        <w:pStyle w:val="Compact"/>
      </w:pPr>
      <w:r>
        <w:t xml:space="preserve">Table 9: Table S12: EE-MRIO</w:t>
      </w:r>
      <w:r>
        <w:t xml:space="preserve"> </w:t>
      </w:r>
      <w:r>
        <w:t xml:space="preserve">household final demand per quintile and sector.</w:t>
      </w:r>
    </w:p>
    <w:p>
      <w:pPr>
        <w:pStyle w:val="Compact"/>
      </w:pPr>
      <w:r>
        <w:t xml:space="preserve">sector</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1</w:t>
      </w:r>
    </w:p>
    <w:p>
      <w:pPr>
        <w:pStyle w:val="Compact"/>
      </w:pPr>
      <w:r>
        <w:t xml:space="preserve">12.34719</w:t>
      </w:r>
    </w:p>
    <w:p>
      <w:pPr>
        <w:pStyle w:val="Compact"/>
      </w:pPr>
      <w:r>
        <w:t xml:space="preserve">23.92809</w:t>
      </w:r>
    </w:p>
    <w:p>
      <w:pPr>
        <w:pStyle w:val="Compact"/>
      </w:pPr>
      <w:r>
        <w:t xml:space="preserve">49.4382</w:t>
      </w:r>
    </w:p>
    <w:p>
      <w:pPr>
        <w:pStyle w:val="Compact"/>
      </w:pPr>
      <w:r>
        <w:t xml:space="preserve">102.8933</w:t>
      </w:r>
    </w:p>
    <w:p>
      <w:pPr>
        <w:pStyle w:val="Compact"/>
      </w:pPr>
      <w:r>
        <w:t xml:space="preserve">148.4629</w:t>
      </w:r>
    </w:p>
    <w:p>
      <w:pPr>
        <w:pStyle w:val="Compact"/>
      </w:pPr>
      <w:r>
        <w:t xml:space="preserve">2</w:t>
      </w:r>
    </w:p>
    <w:p>
      <w:pPr>
        <w:pStyle w:val="Compact"/>
      </w:pPr>
      <w:r>
        <w:t xml:space="preserve">98.88876</w:t>
      </w:r>
    </w:p>
    <w:p>
      <w:pPr>
        <w:pStyle w:val="Compact"/>
      </w:pPr>
      <w:r>
        <w:t xml:space="preserve">112.02697</w:t>
      </w:r>
    </w:p>
    <w:p>
      <w:pPr>
        <w:pStyle w:val="Compact"/>
      </w:pPr>
      <w:r>
        <w:t xml:space="preserve">148.3146</w:t>
      </w:r>
    </w:p>
    <w:p>
      <w:pPr>
        <w:pStyle w:val="Compact"/>
      </w:pPr>
      <w:r>
        <w:t xml:space="preserve">206.0955</w:t>
      </w:r>
    </w:p>
    <w:p>
      <w:pPr>
        <w:pStyle w:val="Compact"/>
      </w:pPr>
      <w:r>
        <w:t xml:space="preserve">197.6045</w:t>
      </w:r>
    </w:p>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10: Table S13: EE-MRIO household</w:t>
      </w:r>
      <w:r>
        <w:t xml:space="preserve"> </w:t>
      </w:r>
      <w:r>
        <w:t xml:space="preserve">final demand per quintile and sector multiplied by the TIV to</w:t>
      </w:r>
      <w:r>
        <w:t xml:space="preserve"> </w:t>
      </w:r>
      <w:r>
        <w:t xml:space="preserve">calculate footprint per quintile and sector.</w:t>
      </w:r>
    </w:p>
    <w:p>
      <w:pPr>
        <w:pStyle w:val="Compact"/>
      </w:pPr>
      <w:r>
        <w:t xml:space="preserve">sector</w:t>
      </w:r>
    </w:p>
    <w:p>
      <w:pPr>
        <w:pStyle w:val="Compact"/>
      </w:pPr>
      <w:r>
        <w:t xml:space="preserve">q1 fd</w:t>
      </w:r>
    </w:p>
    <w:p>
      <w:pPr>
        <w:pStyle w:val="Compact"/>
      </w:pPr>
      <w:r>
        <w:t xml:space="preserve">q2 fd</w:t>
      </w:r>
    </w:p>
    <w:p>
      <w:pPr>
        <w:pStyle w:val="Compact"/>
      </w:pPr>
      <w:r>
        <w:t xml:space="preserve">q3 fd</w:t>
      </w:r>
    </w:p>
    <w:p>
      <w:pPr>
        <w:pStyle w:val="Compact"/>
      </w:pPr>
      <w:r>
        <w:t xml:space="preserve">q4 fd</w:t>
      </w:r>
    </w:p>
    <w:p>
      <w:pPr>
        <w:pStyle w:val="Compact"/>
      </w:pPr>
      <w:r>
        <w:t xml:space="preserve">q5 fd</w:t>
      </w:r>
    </w:p>
    <w:p>
      <w:pPr>
        <w:pStyle w:val="Compact"/>
      </w:pPr>
      <w:r>
        <w:t xml:space="preserve">TIV</w:t>
      </w:r>
    </w:p>
    <w:p>
      <w:pPr>
        <w:pStyle w:val="Compact"/>
      </w:pPr>
      <w:r>
        <w:t xml:space="preserve">q1 fp</w:t>
      </w:r>
    </w:p>
    <w:p>
      <w:pPr>
        <w:pStyle w:val="Compact"/>
      </w:pPr>
      <w:r>
        <w:t xml:space="preserve">q2 fp</w:t>
      </w:r>
    </w:p>
    <w:p>
      <w:pPr>
        <w:pStyle w:val="Compact"/>
      </w:pPr>
      <w:r>
        <w:t xml:space="preserve">q3 fp</w:t>
      </w:r>
    </w:p>
    <w:p>
      <w:pPr>
        <w:pStyle w:val="Compact"/>
      </w:pPr>
      <w:r>
        <w:t xml:space="preserve">q4 fp</w:t>
      </w:r>
    </w:p>
    <w:p>
      <w:pPr>
        <w:pStyle w:val="Compact"/>
      </w:pPr>
      <w:r>
        <w:t xml:space="preserve">q5 fp</w:t>
      </w:r>
    </w:p>
    <w:p>
      <w:pPr>
        <w:pStyle w:val="Compact"/>
      </w:pPr>
      <w:r>
        <w:t xml:space="preserve">total fp</w:t>
      </w:r>
    </w:p>
    <w:p>
      <w:pPr>
        <w:pStyle w:val="Compact"/>
      </w:pPr>
      <w:r>
        <w:t xml:space="preserve">1</w:t>
      </w:r>
    </w:p>
    <w:p>
      <w:pPr>
        <w:pStyle w:val="Compact"/>
      </w:pPr>
      <w:r>
        <w:t xml:space="preserve">12.34719</w:t>
      </w:r>
    </w:p>
    <w:p>
      <w:pPr>
        <w:pStyle w:val="Compact"/>
      </w:pPr>
      <w:r>
        <w:t xml:space="preserve">23.92809</w:t>
      </w:r>
    </w:p>
    <w:p>
      <w:pPr>
        <w:pStyle w:val="Compact"/>
      </w:pPr>
      <w:r>
        <w:t xml:space="preserve">49.4382</w:t>
      </w:r>
    </w:p>
    <w:p>
      <w:pPr>
        <w:pStyle w:val="Compact"/>
      </w:pPr>
      <w:r>
        <w:t xml:space="preserve">102.8933</w:t>
      </w:r>
    </w:p>
    <w:p>
      <w:pPr>
        <w:pStyle w:val="Compact"/>
      </w:pPr>
      <w:r>
        <w:t xml:space="preserve">148.4629</w:t>
      </w:r>
    </w:p>
    <w:p>
      <w:pPr>
        <w:pStyle w:val="Compact"/>
      </w:pPr>
      <w:r>
        <w:t xml:space="preserve">0.2</w:t>
      </w:r>
    </w:p>
    <w:p>
      <w:pPr>
        <w:pStyle w:val="Compact"/>
      </w:pPr>
      <w:r>
        <w:t xml:space="preserve">2.469438</w:t>
      </w:r>
    </w:p>
    <w:p>
      <w:pPr>
        <w:pStyle w:val="Compact"/>
      </w:pPr>
      <w:r>
        <w:t xml:space="preserve">4.785618</w:t>
      </w:r>
    </w:p>
    <w:p>
      <w:pPr>
        <w:pStyle w:val="Compact"/>
      </w:pPr>
      <w:r>
        <w:t xml:space="preserve">9.88764</w:t>
      </w:r>
    </w:p>
    <w:p>
      <w:pPr>
        <w:pStyle w:val="Compact"/>
      </w:pPr>
      <w:r>
        <w:t xml:space="preserve">20.57865</w:t>
      </w:r>
    </w:p>
    <w:p>
      <w:pPr>
        <w:pStyle w:val="Compact"/>
      </w:pPr>
      <w:r>
        <w:t xml:space="preserve">29.69258</w:t>
      </w:r>
    </w:p>
    <w:p>
      <w:pPr>
        <w:pStyle w:val="Compact"/>
      </w:pPr>
      <w:r>
        <w:t xml:space="preserve">67.41393</w:t>
      </w:r>
    </w:p>
    <w:p>
      <w:pPr>
        <w:pStyle w:val="Compact"/>
      </w:pPr>
      <w:r>
        <w:t xml:space="preserve">2</w:t>
      </w:r>
    </w:p>
    <w:p>
      <w:pPr>
        <w:pStyle w:val="Compact"/>
      </w:pPr>
      <w:r>
        <w:t xml:space="preserve">98.88876</w:t>
      </w:r>
    </w:p>
    <w:p>
      <w:pPr>
        <w:pStyle w:val="Compact"/>
      </w:pPr>
      <w:r>
        <w:t xml:space="preserve">112.02697</w:t>
      </w:r>
    </w:p>
    <w:p>
      <w:pPr>
        <w:pStyle w:val="Compact"/>
      </w:pPr>
      <w:r>
        <w:t xml:space="preserve">148.3146</w:t>
      </w:r>
    </w:p>
    <w:p>
      <w:pPr>
        <w:pStyle w:val="Compact"/>
      </w:pPr>
      <w:r>
        <w:t xml:space="preserve">206.0955</w:t>
      </w:r>
    </w:p>
    <w:p>
      <w:pPr>
        <w:pStyle w:val="Compact"/>
      </w:pPr>
      <w:r>
        <w:t xml:space="preserve">197.6045</w:t>
      </w:r>
    </w:p>
    <w:p>
      <w:pPr>
        <w:pStyle w:val="Compact"/>
      </w:pPr>
      <w:r>
        <w:t xml:space="preserve">0.4</w:t>
      </w:r>
    </w:p>
    <w:p>
      <w:pPr>
        <w:pStyle w:val="Compact"/>
      </w:pPr>
      <w:r>
        <w:t xml:space="preserve">39.555506</w:t>
      </w:r>
    </w:p>
    <w:p>
      <w:pPr>
        <w:pStyle w:val="Compact"/>
      </w:pPr>
      <w:r>
        <w:t xml:space="preserve">44.810786</w:t>
      </w:r>
    </w:p>
    <w:p>
      <w:pPr>
        <w:pStyle w:val="Compact"/>
      </w:pPr>
      <w:r>
        <w:t xml:space="preserve">59.32584</w:t>
      </w:r>
    </w:p>
    <w:p>
      <w:pPr>
        <w:pStyle w:val="Compact"/>
      </w:pPr>
      <w:r>
        <w:t xml:space="preserve">82.43820</w:t>
      </w:r>
    </w:p>
    <w:p>
      <w:pPr>
        <w:pStyle w:val="Compact"/>
      </w:pPr>
      <w:r>
        <w:t xml:space="preserve">79.04180</w:t>
      </w:r>
    </w:p>
    <w:p>
      <w:pPr>
        <w:pStyle w:val="Compact"/>
      </w:pPr>
      <w:r>
        <w:t xml:space="preserve">305.17213</w:t>
      </w:r>
    </w:p>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56" w:name="refs"/>
    <w:bookmarkStart w:id="49" w:name="ref-eurostat_eu_2020"/>
    <w:p>
      <w:pPr>
        <w:pStyle w:val="Bibliography"/>
      </w:pPr>
      <w:r>
        <w:t xml:space="preserve">Eurostat, 2020. EU Quality Report of the Household Budget Survey 2015 Wave.</w:t>
      </w:r>
    </w:p>
    <w:bookmarkEnd w:id="49"/>
    <w:bookmarkStart w:id="50" w:name="ref-eurostat_description_2016"/>
    <w:p>
      <w:pPr>
        <w:pStyle w:val="Bibliography"/>
      </w:pPr>
      <w:r>
        <w:t xml:space="preserve">Eurostat, 2016. Description of the data transmission for the Household Budget Survey (HBS) for the Reference Year 2015 Version: 3.</w:t>
      </w:r>
    </w:p>
    <w:bookmarkEnd w:id="50"/>
    <w:bookmarkStart w:id="51" w:name="ref-eurostat_manual_2015"/>
    <w:p>
      <w:pPr>
        <w:pStyle w:val="Bibliography"/>
      </w:pPr>
      <w:r>
        <w:t xml:space="preserve">Eurostat, 2015. Manual for air emission accounts.</w:t>
      </w:r>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Start w:id="55"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54">
        <w:r>
          <w:rPr>
            <w:rStyle w:val="Hyperlink"/>
          </w:rPr>
          <w:t xml:space="preserve">https://doi.org/10.1111/jiec.12715</w:t>
        </w:r>
      </w:hyperlink>
    </w:p>
    <w:bookmarkEnd w:id="55"/>
    <w:bookmarkEnd w:id="5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2021-01-19T08:20:01Z</dcterms:created>
  <dcterms:modified xsi:type="dcterms:W3CDTF">2021-01-19T08:20:01Z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