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1.png" ContentType="image/png"/>
  <Override PartName="/word/media/rId43.png" ContentType="image/png"/>
  <Override PartName="/word/media/rId45.png" ContentType="image/png"/>
  <Override PartName="/word/media/rId47.png" ContentType="image/png"/>
  <Override PartName="/word/media/rId49.png" ContentType="image/png"/>
  <Override PartName="/word/media/rId36.png" ContentType="image/png"/>
  <Override PartName="/word/media/rId51.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x pages, x tables,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 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 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current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industry-by-industry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expenditure by income quintile according to the structure of the EUROSTAT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environmental-extensions"/>
      <w:r>
        <w:t xml:space="preserve">Environmental extensions</w:t>
      </w:r>
      <w:bookmarkEnd w:id="24"/>
    </w:p>
    <w:p>
      <w:pPr>
        <w:pStyle w:val="FirstParagraph"/>
      </w:pPr>
      <w:r>
        <w:t xml:space="preserve">The environmental extensions we use are emissions of CO2-equivalence (in kilograms) and gross total energy use (in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principles.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02a4e6e6afb08f4eea7f3cf6b179b994a11a010"/>
      <w:r>
        <w:t xml:space="preserve">Environmental extensions direct from households</w:t>
      </w:r>
      <w:bookmarkEnd w:id="25"/>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National environmental footprints are often expressed in per capita terms; the national environmental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We use per adult equivalent as our unit of analysis throughout the paper, and in order to express our footprint estimates per adult equivalent, we needed the total number of private households in each country and year, and for this, two additional data tables were needed. We used:</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BodyText"/>
      </w:pPr>
      <w:r>
        <w:rPr>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b/>
        </w:rPr>
        <w:t xml:space="preserve">Table S3: Calculation of EE-MRIO household footprint decomposed by income quintile, through multiplication of EE-MRIO household final demand expenditure per income quintile and sector by the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vector (TIV) calculated in the EE-MRIO (with only one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BodyText"/>
      </w:pPr>
      <w:r>
        <w:rPr>
          <w:b/>
        </w:rPr>
        <w:t xml:space="preserve">Table S4: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b/>
        </w:rPr>
        <w:t xml:space="preserve">Table S5: Country and year coverage between EXIOBASE and the EUROSTAT HBS. Rows with black text show countries that are represented in EXIOBASE, and an</w:t>
      </w:r>
      <w:r>
        <w:rPr>
          <w:b/>
        </w:rPr>
        <w:t xml:space="preserve"> </w:t>
      </w:r>
      <w:r>
        <w:rPr>
          <w:b/>
        </w:rPr>
        <w:t xml:space="preserve">‘</w:t>
      </w:r>
      <w:r>
        <w:rPr>
          <w:b/>
        </w:rPr>
        <w:t xml:space="preserve">x</w:t>
      </w:r>
      <w:r>
        <w:rPr>
          <w:b/>
        </w:rPr>
        <w:t xml:space="preserve">’</w:t>
      </w:r>
      <w:r>
        <w:rPr>
          <w:b/>
        </w:rPr>
        <w:t xml:space="preserve"> </w:t>
      </w:r>
      <w:r>
        <w:rPr>
          <w:b/>
        </w:rPr>
        <w:t xml:space="preserve">for those years where EUROSTAT HBS data also exists for that country. Rows with red text show countries where EUROSTAT HBS data exists, but who are not represented individually in EXIOBASE (they are in</w:t>
      </w:r>
      <w:r>
        <w:rPr>
          <w:b/>
        </w:rPr>
        <w:t xml:space="preserve"> </w:t>
      </w:r>
      <w:r>
        <w:rPr>
          <w:b/>
        </w:rPr>
        <w:t xml:space="preserve">‘</w:t>
      </w:r>
      <w:r>
        <w:rPr>
          <w:b/>
        </w:rPr>
        <w:t xml:space="preserve">rest-of-world</w:t>
      </w:r>
      <w:r>
        <w:rPr>
          <w:b/>
        </w:rPr>
        <w:t xml:space="preserve">’</w:t>
      </w:r>
      <w:r>
        <w:rPr>
          <w:b/>
        </w:rPr>
        <w:t xml:space="preserve"> </w:t>
      </w:r>
      <w:r>
        <w:rPr>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b/>
        </w:rPr>
        <w:t xml:space="preserve">Table S7: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BodyText"/>
      </w:pPr>
      <w:r>
        <w:rPr>
          <w:b/>
        </w:rPr>
        <w:t xml:space="preserve">Table S8: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To calculate European household expenditure deciles we first ranked the national income quintiles from the HBS of 28 European countries (in total 140 national quintiles) according to their mean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EUROSTAT HBS data) and Luxembourg (no 2010 EUROSTAT HBS data), but includes the UK, Norway and Turkey.</w:t>
      </w:r>
    </w:p>
    <w:p>
      <w:pPr>
        <w:pStyle w:val="BodyText"/>
      </w:pPr>
      <w:r>
        <w:t xml:space="preserve">This method uses average expenditure data from the national income quintiles, and so one limitation is that this aggregation cuts off the lower and higher tails of the respective national expenditure distributions.</w:t>
      </w:r>
    </w:p>
    <w:p>
      <w:pPr>
        <w:pStyle w:val="BodyText"/>
      </w:pPr>
      <w:r>
        <w:t xml:space="preserve">Different levels of subsidy in different countries could alter pure comparisons between intensities of consumption between countries, although presumably less within countries.</w:t>
      </w:r>
    </w:p>
    <w:p>
      <w:pPr>
        <w:pStyle w:val="CaptionedFigure"/>
      </w:pPr>
      <w:r>
        <w:drawing>
          <wp:inline>
            <wp:extent cx="5943600" cy="2971800"/>
            <wp:effectExtent b="0" l="0" r="0" t="0"/>
            <wp:docPr descr="Figure : Percentage of population in bottom 4 European deciles." title="" id="1" name="Picture"/>
            <a:graphic>
              <a:graphicData uri="http://schemas.openxmlformats.org/drawingml/2006/picture">
                <pic:pic>
                  <pic:nvPicPr>
                    <pic:cNvPr descr="../figures/unnamed-chunk-3-1.png" id="0" name="Picture"/>
                    <pic:cNvPicPr>
                      <a:picLocks noChangeArrowheads="1" noChangeAspect="1"/>
                    </pic:cNvPicPr>
                  </pic:nvPicPr>
                  <pic:blipFill>
                    <a:blip r:embed="rId36"/>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t xml:space="preserve">Figure : Percentage of population in bottom 4 European deciles.</w:t>
      </w:r>
    </w:p>
    <w:p>
      <w:pPr>
        <w:pStyle w:val="Heading2"/>
      </w:pPr>
      <w:bookmarkStart w:id="37" w:name="alternative-method"/>
      <w:r>
        <w:t xml:space="preserve">Alternative method</w:t>
      </w:r>
      <w:bookmarkEnd w:id="37"/>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8">
        <w:r>
          <w:rPr>
            <w:rStyle w:val="Hyperlink"/>
          </w:rPr>
          <w:t xml:space="preserve">https://stats.oecd.org/index.aspx?queryid=84864#</w:t>
        </w:r>
      </w:hyperlink>
      <w:r>
        <w:t xml:space="preserve"> </w:t>
      </w:r>
      <w:r>
        <w:t xml:space="preserve">(31)</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b/>
        </w:rPr>
        <w:t xml:space="preserve">Table S10: Income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income quintile in base price and new sectoral pm values in base price (</w:t>
      </w:r>
      <w:r>
        <w:rPr>
          <w:b/>
        </w:rPr>
        <w:t xml:space="preserve">‘</w:t>
      </w:r>
      <w:r>
        <w:rPr>
          <w:b/>
        </w:rPr>
        <w:t xml:space="preserve">pps hh bp</w:t>
      </w:r>
      <w:r>
        <w:rPr>
          <w:b/>
        </w:rPr>
        <w:t xml:space="preserve">’</w:t>
      </w:r>
      <w:r>
        <w:rPr>
          <w:b/>
        </w:rPr>
        <w:t xml:space="preserve"> </w:t>
      </w:r>
      <w:r>
        <w:rPr>
          <w:b/>
        </w:rPr>
        <w:t xml:space="preserve">is the sum of</w:t>
      </w:r>
      <w:r>
        <w:rPr>
          <w:b/>
        </w:rPr>
        <w:t xml:space="preserve"> </w:t>
      </w:r>
      <w:r>
        <w:rPr>
          <w:b/>
        </w:rPr>
        <w:t xml:space="preserve">‘</w:t>
      </w:r>
      <w:r>
        <w:rPr>
          <w:b/>
        </w:rPr>
        <w:t xml:space="preserve">s1 (pps hh bp)</w:t>
      </w:r>
      <w:r>
        <w:rPr>
          <w:b/>
        </w:rPr>
        <w:t xml:space="preserve">’</w:t>
      </w:r>
      <w:r>
        <w:rPr>
          <w:b/>
        </w:rPr>
        <w:t xml:space="preserve"> </w:t>
      </w:r>
      <w:r>
        <w:rPr>
          <w:b/>
        </w:rPr>
        <w:t xml:space="preserve">and</w:t>
      </w:r>
      <w:r>
        <w:rPr>
          <w:b/>
        </w:rPr>
        <w:t xml:space="preserve"> </w:t>
      </w:r>
      <w:r>
        <w:rPr>
          <w:b/>
        </w:rPr>
        <w:t xml:space="preserve">‘</w:t>
      </w:r>
      <w:r>
        <w:rPr>
          <w:b/>
        </w:rPr>
        <w:t xml:space="preserve">s2 (pps hh bp)</w:t>
      </w:r>
      <w:r>
        <w:rPr>
          <w:b/>
        </w:rPr>
        <w:t xml:space="preserve">’</w:t>
      </w:r>
      <w:r>
        <w:rPr>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BodyText"/>
      </w:pPr>
      <w:r>
        <w:rPr>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9" w:name="supplementary-results"/>
      <w:r>
        <w:t xml:space="preserve">Supplementary Results</w:t>
      </w:r>
      <w:bookmarkEnd w:id="39"/>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an alternative methodology and EXIOBASE industry-by-industry version.</w:t>
      </w:r>
    </w:p>
    <w:p>
      <w:pPr>
        <w:pStyle w:val="Heading2"/>
      </w:pPr>
      <w:bookmarkStart w:id="40" w:name="X8d75558b19c1f4ada8a7ee00925afcbe8652b35"/>
      <w:r>
        <w:t xml:space="preserve">2005 using main method, EXIOBASE industry-by-industry</w:t>
      </w:r>
      <w:bookmarkEnd w:id="40"/>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S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1"/>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2" w:name="X6d0fbaa5f45806da251547b50375281c1325abb"/>
      <w:r>
        <w:t xml:space="preserve">2010 using main method, EXIOBASE industry-by-industry</w:t>
      </w:r>
      <w:bookmarkEnd w:id="42"/>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S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3"/>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4" w:name="Xa524caf697d4adaad7fcac9faec7b6d79794f21"/>
      <w:r>
        <w:t xml:space="preserve">2010 using main method, EXIOBASE product-by-product</w:t>
      </w:r>
      <w:bookmarkEnd w:id="44"/>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S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5"/>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6" w:name="Xb0ae8b1959b15b13866be8149136e915543cac5"/>
      <w:r>
        <w:t xml:space="preserve">2015 using alternative method, EXIOBASE industry-by-industry</w:t>
      </w:r>
      <w:bookmarkEnd w:id="46"/>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7"/>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48" w:name="units-of-analysis"/>
      <w:r>
        <w:t xml:space="preserve">Units of analysis</w:t>
      </w:r>
      <w:bookmarkEnd w:id="48"/>
    </w:p>
    <w:p>
      <w:pPr>
        <w:pStyle w:val="FirstParagraph"/>
      </w:pPr>
      <w:r>
        <w:t xml:space="preserve">Through the main paper we use household per adult equivalent as our unit of analysis, following the EUROSTAT HBS. This meant that we adjusted decarbonisation scenario final energy numbers from total per capita to household per adult equivalent to better compare them with our environmental footprint estimates. We adjusted them for 1) the household share of the total footprint, and 2) the adult equivalent share of the total population.</w:t>
      </w:r>
    </w:p>
    <w:p>
      <w:pPr>
        <w:pStyle w:val="BodyText"/>
      </w:pPr>
      <w:r>
        <w:t xml:space="preserve">As a numerical example, we adjust a total final energy of 53 GJ per capita from the LED scenario (Grubler et al. (2018)</w:t>
      </w:r>
      <w:r>
        <w:t xml:space="preserve"> </w:t>
      </w:r>
      <w:r>
        <w:t xml:space="preserve">(32)</w:t>
      </w:r>
      <w:r>
        <w:t xml:space="preserve">), first by the household share of the total European energy footprint in 2015 (around 0.62,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adjusted to a household final energy of 53 GJ/adult equivalent in Europe ((53 total GJ/capita * 0.62 household share of total footprint)/0.62 adult equivalent share of total population = 53 household GJ/adult equivalent).</w:t>
      </w:r>
    </w:p>
    <w:p>
      <w:pPr>
        <w:pStyle w:val="BodyText"/>
      </w:pPr>
      <w:r>
        <w:t xml:space="preserve">Our European expenditure deciles were constructed having the exact same number of adult equivalents per decile. When comparing with external per capita numbers, however, there are not the same number of population per decile because of differences in non-adult-equivalent-normalized people per household between income quintiles per country, and between countries. In Figure Sx we show an estimate of population per European expenditure decile. We use this to re-estimate our energy footprint per European expenditure decile in per capita terms, and then re-create Figure 5 from the main paper (Figure Sxx below) in per capita terms.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 to the adult equivalents from different countries making up each European expenditure decile, as so we could estimate total population per European expenditure decile taking into account differences in household per capita between countries, but not between income quintiles within each country. Figure Sx shows these population estimates per European expenditure decile.</w:t>
      </w:r>
    </w:p>
    <w:p>
      <w:pPr>
        <w:pStyle w:val="CaptionedFigure"/>
      </w:pPr>
      <w:r>
        <w:drawing>
          <wp:inline>
            <wp:extent cx="4587290" cy="3669832"/>
            <wp:effectExtent b="0" l="0" r="0" t="0"/>
            <wp:docPr descr="Figure S5:" title="" id="1" name="Picture"/>
            <a:graphic>
              <a:graphicData uri="http://schemas.openxmlformats.org/drawingml/2006/picture">
                <pic:pic>
                  <pic:nvPicPr>
                    <pic:cNvPr descr="../figures/figureSx-1.png" id="0" name="Picture"/>
                    <pic:cNvPicPr>
                      <a:picLocks noChangeArrowheads="1" noChangeAspect="1"/>
                    </pic:cNvPicPr>
                  </pic:nvPicPr>
                  <pic:blipFill>
                    <a:blip r:embed="rId49"/>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b/>
        </w:rPr>
        <w:t xml:space="preserve">Figure S5:</w:t>
      </w:r>
    </w:p>
    <w:p>
      <w:pPr>
        <w:pStyle w:val="Heading2"/>
      </w:pPr>
      <w:bookmarkStart w:id="50" w:name="X124fb871f300c64c013f040631ac0f6f108334e"/>
      <w:r>
        <w:t xml:space="preserve">Figure 5 from manuscript in household final energy per capita</w:t>
      </w:r>
      <w:bookmarkEnd w:id="50"/>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adjust the decarbonisation scenario final energy numbers from total GJ per capita to household GJ per capita, so 53 total GJ/capita becomes: 53 * 0.62 = 33 household GJ/capita.</w:t>
      </w:r>
    </w:p>
    <w:p>
      <w:pPr>
        <w:pStyle w:val="CaptionedFigure"/>
      </w:pPr>
      <w:r>
        <w:drawing>
          <wp:inline>
            <wp:extent cx="5943600" cy="4669971"/>
            <wp:effectExtent b="0" l="0" r="0" t="0"/>
            <wp:docPr descr="Figure S6:" title="" id="1" name="Picture"/>
            <a:graphic>
              <a:graphicData uri="http://schemas.openxmlformats.org/drawingml/2006/picture">
                <pic:pic>
                  <pic:nvPicPr>
                    <pic:cNvPr descr="../figures/unnamed-chunk-8-1.png" id="0" name="Picture"/>
                    <pic:cNvPicPr>
                      <a:picLocks noChangeArrowheads="1" noChangeAspect="1"/>
                    </pic:cNvPicPr>
                  </pic:nvPicPr>
                  <pic:blipFill>
                    <a:blip r:embed="rId51"/>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rPr>
          <w:b/>
        </w:rPr>
        <w:t xml:space="preserve">Figure S6:</w:t>
      </w:r>
    </w:p>
    <w:p>
      <w:r>
        <w:br w:type="page"/>
      </w:r>
    </w:p>
    <w:p>
      <w:pPr>
        <w:pStyle w:val="Heading1"/>
      </w:pPr>
      <w:bookmarkStart w:id="52" w:name="references"/>
      <w:r>
        <w:t xml:space="preserve">References</w:t>
      </w:r>
      <w:bookmarkEnd w:id="52"/>
    </w:p>
    <w:bookmarkStart w:id="109" w:name="refs"/>
    <w:bookmarkStart w:id="54"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3">
        <w:r>
          <w:rPr>
            <w:rStyle w:val="Hyperlink"/>
          </w:rPr>
          <w:t xml:space="preserve">https://onlinelibrary.wiley.com/doi/abs/10.1111/jiec.12715</w:t>
        </w:r>
      </w:hyperlink>
    </w:p>
    <w:bookmarkEnd w:id="54"/>
    <w:bookmarkStart w:id="55"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5"/>
    <w:bookmarkStart w:id="56"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6"/>
    <w:bookmarkStart w:id="58"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7">
        <w:r>
          <w:rPr>
            <w:rStyle w:val="Hyperlink"/>
          </w:rPr>
          <w:t xml:space="preserve">https://www.R-project.org/</w:t>
        </w:r>
      </w:hyperlink>
    </w:p>
    <w:bookmarkEnd w:id="58"/>
    <w:bookmarkStart w:id="60"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9">
        <w:r>
          <w:rPr>
            <w:rStyle w:val="Hyperlink"/>
          </w:rPr>
          <w:t xml:space="preserve">https://joss.theoj.org/papers/10.21105/joss.01686</w:t>
        </w:r>
      </w:hyperlink>
    </w:p>
    <w:bookmarkEnd w:id="60"/>
    <w:bookmarkStart w:id="62"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1">
        <w:r>
          <w:rPr>
            <w:rStyle w:val="Hyperlink"/>
          </w:rPr>
          <w:t xml:space="preserve">https://CRAN.R-project.org/package=janitor</w:t>
        </w:r>
      </w:hyperlink>
    </w:p>
    <w:bookmarkEnd w:id="62"/>
    <w:bookmarkStart w:id="64" w:name="ref-muller_here:_2020"/>
    <w:p>
      <w:pPr>
        <w:pStyle w:val="Bibliography"/>
      </w:pPr>
      <w:r>
        <w:t xml:space="preserve">7. Müller K, Bryan J. Here: A Simpler Way to Find Your Files [Internet]. 2020 [cited 2021 Feb 1]. Available from:</w:t>
      </w:r>
      <w:r>
        <w:t xml:space="preserve"> </w:t>
      </w:r>
      <w:hyperlink r:id="rId63">
        <w:r>
          <w:rPr>
            <w:rStyle w:val="Hyperlink"/>
          </w:rPr>
          <w:t xml:space="preserve">https://CRAN.R-project.org/package=here</w:t>
        </w:r>
      </w:hyperlink>
    </w:p>
    <w:bookmarkEnd w:id="64"/>
    <w:bookmarkStart w:id="66"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5">
        <w:r>
          <w:rPr>
            <w:rStyle w:val="Hyperlink"/>
          </w:rPr>
          <w:t xml:space="preserve">https://CRAN.R-project.org/package=wbstats</w:t>
        </w:r>
      </w:hyperlink>
    </w:p>
    <w:bookmarkEnd w:id="66"/>
    <w:bookmarkStart w:id="68" w:name="ref-buchta_isocodes:_2020"/>
    <w:p>
      <w:pPr>
        <w:pStyle w:val="Bibliography"/>
      </w:pPr>
      <w:r>
        <w:t xml:space="preserve">9. Buchta C, Hornik [aut K, cre. ISOcodes: Selected ISO Codes [Internet]. 2020 [cited 2021 Feb 1]. Available from:</w:t>
      </w:r>
      <w:r>
        <w:t xml:space="preserve"> </w:t>
      </w:r>
      <w:hyperlink r:id="rId67">
        <w:r>
          <w:rPr>
            <w:rStyle w:val="Hyperlink"/>
          </w:rPr>
          <w:t xml:space="preserve">https://CRAN.R-project.org/package=ISOcodes</w:t>
        </w:r>
      </w:hyperlink>
    </w:p>
    <w:bookmarkEnd w:id="68"/>
    <w:bookmarkStart w:id="70" w:name="ref-garnier_viridis:_2018"/>
    <w:p>
      <w:pPr>
        <w:pStyle w:val="Bibliography"/>
      </w:pPr>
      <w:r>
        <w:t xml:space="preserve">10. Garnier S, Ross N, Rudis B, Sciaini M, Scherer C. Viridis: Default Color Maps from ’matplotlib’ [Internet]. 2018 [cited 2021 Feb 1]. Available from:</w:t>
      </w:r>
      <w:r>
        <w:t xml:space="preserve"> </w:t>
      </w:r>
      <w:hyperlink r:id="rId69">
        <w:r>
          <w:rPr>
            <w:rStyle w:val="Hyperlink"/>
          </w:rPr>
          <w:t xml:space="preserve">https://CRAN.R-project.org/package=viridis</w:t>
        </w:r>
      </w:hyperlink>
    </w:p>
    <w:bookmarkEnd w:id="70"/>
    <w:bookmarkStart w:id="72"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1">
        <w:r>
          <w:rPr>
            <w:rStyle w:val="Hyperlink"/>
          </w:rPr>
          <w:t xml:space="preserve">https://CRAN.R-project.org/package=hrbrthemes</w:t>
        </w:r>
      </w:hyperlink>
    </w:p>
    <w:bookmarkEnd w:id="72"/>
    <w:bookmarkStart w:id="74" w:name="ref-ram_wesanderson:_2018"/>
    <w:p>
      <w:pPr>
        <w:pStyle w:val="Bibliography"/>
      </w:pPr>
      <w:r>
        <w:t xml:space="preserve">12. Ram K, Wickham H, Richards C, Baggett A. Wesanderson: A Wes Anderson Palette Generator [Internet]. 2018 [cited 2021 Feb 1]. Available from:</w:t>
      </w:r>
      <w:r>
        <w:t xml:space="preserve"> </w:t>
      </w:r>
      <w:hyperlink r:id="rId73">
        <w:r>
          <w:rPr>
            <w:rStyle w:val="Hyperlink"/>
          </w:rPr>
          <w:t xml:space="preserve">https://CRAN.R-project.org/package=wesanderson</w:t>
        </w:r>
      </w:hyperlink>
    </w:p>
    <w:bookmarkEnd w:id="74"/>
    <w:bookmarkStart w:id="76" w:name="ref-hester_glue:_2020"/>
    <w:p>
      <w:pPr>
        <w:pStyle w:val="Bibliography"/>
      </w:pPr>
      <w:r>
        <w:t xml:space="preserve">13. Hester J. Glue: Interpreted String Literals [Internet]. 2020 [cited 2021 Feb 1]. Available from:</w:t>
      </w:r>
      <w:r>
        <w:t xml:space="preserve"> </w:t>
      </w:r>
      <w:hyperlink r:id="rId75">
        <w:r>
          <w:rPr>
            <w:rStyle w:val="Hyperlink"/>
          </w:rPr>
          <w:t xml:space="preserve">https://CRAN.R-project.org/package=glue</w:t>
        </w:r>
      </w:hyperlink>
    </w:p>
    <w:bookmarkEnd w:id="76"/>
    <w:bookmarkStart w:id="78" w:name="ref-wilke_ggridges:_2021"/>
    <w:p>
      <w:pPr>
        <w:pStyle w:val="Bibliography"/>
      </w:pPr>
      <w:r>
        <w:t xml:space="preserve">14. Wilke CO. Ggridges: Ridgeline Plots in ’ggplot2’ [Internet]. 2021 [cited 2021 Feb 1]. Available from:</w:t>
      </w:r>
      <w:r>
        <w:t xml:space="preserve"> </w:t>
      </w:r>
      <w:hyperlink r:id="rId77">
        <w:r>
          <w:rPr>
            <w:rStyle w:val="Hyperlink"/>
          </w:rPr>
          <w:t xml:space="preserve">https://CRAN.R-project.org/package=ggridges</w:t>
        </w:r>
      </w:hyperlink>
    </w:p>
    <w:bookmarkEnd w:id="78"/>
    <w:bookmarkStart w:id="80" w:name="ref-pedersen_patchwork:_2020"/>
    <w:p>
      <w:pPr>
        <w:pStyle w:val="Bibliography"/>
      </w:pPr>
      <w:r>
        <w:t xml:space="preserve">15. Pedersen TL. Patchwork: The Composer of Plots [Internet]. 2020 [cited 2021 Feb 1]. Available from:</w:t>
      </w:r>
      <w:r>
        <w:t xml:space="preserve"> </w:t>
      </w:r>
      <w:hyperlink r:id="rId79">
        <w:r>
          <w:rPr>
            <w:rStyle w:val="Hyperlink"/>
          </w:rPr>
          <w:t xml:space="preserve">https://CRAN.R-project.org/package=patchwork</w:t>
        </w:r>
      </w:hyperlink>
    </w:p>
    <w:bookmarkEnd w:id="80"/>
    <w:bookmarkStart w:id="82"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1">
        <w:r>
          <w:rPr>
            <w:rStyle w:val="Hyperlink"/>
          </w:rPr>
          <w:t xml:space="preserve">https://CRAN.R-project.org/package=kableExtra</w:t>
        </w:r>
      </w:hyperlink>
    </w:p>
    <w:bookmarkEnd w:id="82"/>
    <w:bookmarkStart w:id="84"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3">
        <w:r>
          <w:rPr>
            <w:rStyle w:val="Hyperlink"/>
          </w:rPr>
          <w:t xml:space="preserve">https://CRAN.R-project.org/package=readxl</w:t>
        </w:r>
      </w:hyperlink>
    </w:p>
    <w:bookmarkEnd w:id="84"/>
    <w:bookmarkStart w:id="86"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5">
        <w:r>
          <w:rPr>
            <w:rStyle w:val="Hyperlink"/>
          </w:rPr>
          <w:t xml:space="preserve">https://CRAN.R-project.org/package=flextable</w:t>
        </w:r>
      </w:hyperlink>
    </w:p>
    <w:bookmarkEnd w:id="86"/>
    <w:bookmarkStart w:id="88" w:name="ref-south_rworldmap:_2016"/>
    <w:p>
      <w:pPr>
        <w:pStyle w:val="Bibliography"/>
      </w:pPr>
      <w:r>
        <w:t xml:space="preserve">19. South A. Rworldmap: Mapping Global Data [Internet]. 2016 [cited 2021 Feb 1]. Available from:</w:t>
      </w:r>
      <w:r>
        <w:t xml:space="preserve"> </w:t>
      </w:r>
      <w:hyperlink r:id="rId87">
        <w:r>
          <w:rPr>
            <w:rStyle w:val="Hyperlink"/>
          </w:rPr>
          <w:t xml:space="preserve">https://CRAN.R-project.org/package=rworldmap</w:t>
        </w:r>
      </w:hyperlink>
    </w:p>
    <w:bookmarkEnd w:id="88"/>
    <w:bookmarkStart w:id="90"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9">
        <w:r>
          <w:rPr>
            <w:rStyle w:val="Hyperlink"/>
          </w:rPr>
          <w:t xml:space="preserve">https://CRAN.R-project.org/package=ggthemes</w:t>
        </w:r>
      </w:hyperlink>
    </w:p>
    <w:bookmarkEnd w:id="90"/>
    <w:bookmarkStart w:id="91" w:name="ref-miller_input-output_1985"/>
    <w:p>
      <w:pPr>
        <w:pStyle w:val="Bibliography"/>
      </w:pPr>
      <w:r>
        <w:t xml:space="preserve">21. Miller RE, Blair PD. Input-output analysis: Foundations and extensions. Englewood Cliffs, N.J: Prentice-Hall; 1985.</w:t>
      </w:r>
      <w:r>
        <w:t xml:space="preserve"> </w:t>
      </w:r>
    </w:p>
    <w:bookmarkEnd w:id="91"/>
    <w:bookmarkStart w:id="92"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2"/>
    <w:bookmarkStart w:id="93" w:name="ref-eurostat_manual_2015"/>
    <w:p>
      <w:pPr>
        <w:pStyle w:val="Bibliography"/>
      </w:pPr>
      <w:r>
        <w:t xml:space="preserve">23. Eurostat. Manual for air emission accounts. 2015.</w:t>
      </w:r>
      <w:r>
        <w:t xml:space="preserve"> </w:t>
      </w:r>
    </w:p>
    <w:bookmarkEnd w:id="93"/>
    <w:bookmarkStart w:id="94"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4"/>
    <w:bookmarkStart w:id="95"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5"/>
    <w:bookmarkStart w:id="97"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6">
        <w:r>
          <w:rPr>
            <w:rStyle w:val="Hyperlink"/>
          </w:rPr>
          <w:t xml:space="preserve">https://ec.europa.eu/eurostat/documents/54431/1966394/HBS2015_Transmission_DOC_V3.2018_05_22.pdf</w:t>
        </w:r>
      </w:hyperlink>
    </w:p>
    <w:bookmarkEnd w:id="97"/>
    <w:bookmarkStart w:id="99"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8">
        <w:r>
          <w:rPr>
            <w:rStyle w:val="Hyperlink"/>
          </w:rPr>
          <w:t xml:space="preserve">https://appsso.eurostat.ec.europa.eu/nui/show.do?dataset=lfst_hhnhtych&amp;lang=en</w:t>
        </w:r>
      </w:hyperlink>
    </w:p>
    <w:bookmarkEnd w:id="99"/>
    <w:bookmarkStart w:id="101"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100">
        <w:r>
          <w:rPr>
            <w:rStyle w:val="Hyperlink"/>
          </w:rPr>
          <w:t xml:space="preserve">http://www.ssb.no/en/statbanken/statbank/table/10986/</w:t>
        </w:r>
      </w:hyperlink>
    </w:p>
    <w:bookmarkEnd w:id="101"/>
    <w:bookmarkStart w:id="103" w:name="ref-eurostat_eu_2020"/>
    <w:p>
      <w:pPr>
        <w:pStyle w:val="Bibliography"/>
      </w:pPr>
      <w:r>
        <w:t xml:space="preserve">29. Eurostat. EU Quality Report of the Household Budget Survey 2015 Wave [Internet]. 2020. Available from:</w:t>
      </w:r>
      <w:r>
        <w:t xml:space="preserve"> </w:t>
      </w:r>
      <w:hyperlink r:id="rId102">
        <w:r>
          <w:rPr>
            <w:rStyle w:val="Hyperlink"/>
          </w:rPr>
          <w:t xml:space="preserve">https://ec.europa.eu/eurostat/documents/54431/1966394/HBS_EU_QualityReport_2015.pdf/72d7e310-c415-7806-93cc-e3bc7a49b596</w:t>
        </w:r>
      </w:hyperlink>
    </w:p>
    <w:bookmarkEnd w:id="103"/>
    <w:bookmarkStart w:id="105" w:name="ref-moran_convergence_2014"/>
    <w:p>
      <w:pPr>
        <w:pStyle w:val="Bibliography"/>
      </w:pPr>
      <w:r>
        <w:t xml:space="preserve">30. Moran D, Wood R. Convergence Between the Eora, Wiod, Exiobase, and Openeu’s Consumption-Based Carbon Accounts. Economic Systems Research [Internet]. 2014 Jul [cited 2018 Aug 15];26(3):245–61. Available from:</w:t>
      </w:r>
      <w:r>
        <w:t xml:space="preserve"> </w:t>
      </w:r>
      <w:hyperlink r:id="rId104">
        <w:r>
          <w:rPr>
            <w:rStyle w:val="Hyperlink"/>
          </w:rPr>
          <w:t xml:space="preserve">https://doi.org/10.1080/09535314.2014.935298</w:t>
        </w:r>
      </w:hyperlink>
    </w:p>
    <w:bookmarkEnd w:id="105"/>
    <w:bookmarkStart w:id="106" w:name="ref-oecd_sut_nodate"/>
    <w:p>
      <w:pPr>
        <w:pStyle w:val="Bibliography"/>
      </w:pPr>
      <w:r>
        <w:t xml:space="preserve">31. OECD. SUT Indicators : Trade and transport margins in percentage of total supply at purchasers’ prices [Internet]. [cited 2021 Jan 20]. Available from:</w:t>
      </w:r>
      <w:r>
        <w:t xml:space="preserve"> </w:t>
      </w:r>
      <w:hyperlink r:id="rId38">
        <w:r>
          <w:rPr>
            <w:rStyle w:val="Hyperlink"/>
          </w:rPr>
          <w:t xml:space="preserve">https://stats.oecd.org/index.aspx?queryid=84864#</w:t>
        </w:r>
      </w:hyperlink>
    </w:p>
    <w:bookmarkEnd w:id="106"/>
    <w:bookmarkStart w:id="108" w:name="ref-grubler_low_2018"/>
    <w:p>
      <w:pPr>
        <w:pStyle w:val="Bibliography"/>
      </w:pPr>
      <w:r>
        <w:t xml:space="preserve">32.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107">
        <w:r>
          <w:rPr>
            <w:rStyle w:val="Hyperlink"/>
          </w:rPr>
          <w:t xml:space="preserve">https://rdcu.be/SOJx</w:t>
        </w:r>
      </w:hyperlink>
    </w:p>
    <w:bookmarkEnd w:id="108"/>
    <w:bookmarkEnd w:id="109"/>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1" Target="media/rId41.png" /><Relationship Type="http://schemas.openxmlformats.org/officeDocument/2006/relationships/image" Id="rId43" Target="media/rId43.png" /><Relationship Type="http://schemas.openxmlformats.org/officeDocument/2006/relationships/image" Id="rId45" Target="media/rId45.png" /><Relationship Type="http://schemas.openxmlformats.org/officeDocument/2006/relationships/image" Id="rId47" Target="media/rId47.png" /><Relationship Type="http://schemas.openxmlformats.org/officeDocument/2006/relationships/image" Id="rId49" Target="media/rId49.png" /><Relationship Type="http://schemas.openxmlformats.org/officeDocument/2006/relationships/image" Id="rId36" Target="media/rId36.png" /><Relationship Type="http://schemas.openxmlformats.org/officeDocument/2006/relationships/image" Id="rId51" Target="media/rId51.png" /><Relationship Type="http://schemas.openxmlformats.org/officeDocument/2006/relationships/hyperlink" Id="rId26" Target="http://appsso.eurostat.ec.europa.eu/nui/show.do?dataset=env_ac_pefasu" TargetMode="External" /><Relationship Type="http://schemas.openxmlformats.org/officeDocument/2006/relationships/hyperlink" Id="rId100" Target="http://www.ssb.no/en/statbanken/statbank/table/10986/" TargetMode="External" /><Relationship Type="http://schemas.openxmlformats.org/officeDocument/2006/relationships/hyperlink" Id="rId67" Target="https://CRAN.R-project.org/package=ISOcodes" TargetMode="External" /><Relationship Type="http://schemas.openxmlformats.org/officeDocument/2006/relationships/hyperlink" Id="rId85" Target="https://CRAN.R-project.org/package=flextable" TargetMode="External" /><Relationship Type="http://schemas.openxmlformats.org/officeDocument/2006/relationships/hyperlink" Id="rId77" Target="https://CRAN.R-project.org/package=ggridges" TargetMode="External" /><Relationship Type="http://schemas.openxmlformats.org/officeDocument/2006/relationships/hyperlink" Id="rId89" Target="https://CRAN.R-project.org/package=ggthemes" TargetMode="External" /><Relationship Type="http://schemas.openxmlformats.org/officeDocument/2006/relationships/hyperlink" Id="rId75" Target="https://CRAN.R-project.org/package=glue" TargetMode="External" /><Relationship Type="http://schemas.openxmlformats.org/officeDocument/2006/relationships/hyperlink" Id="rId63" Target="https://CRAN.R-project.org/package=here" TargetMode="External" /><Relationship Type="http://schemas.openxmlformats.org/officeDocument/2006/relationships/hyperlink" Id="rId71" Target="https://CRAN.R-project.org/package=hrbrthemes" TargetMode="External" /><Relationship Type="http://schemas.openxmlformats.org/officeDocument/2006/relationships/hyperlink" Id="rId61" Target="https://CRAN.R-project.org/package=janitor" TargetMode="External" /><Relationship Type="http://schemas.openxmlformats.org/officeDocument/2006/relationships/hyperlink" Id="rId81" Target="https://CRAN.R-project.org/package=kableExtra" TargetMode="External" /><Relationship Type="http://schemas.openxmlformats.org/officeDocument/2006/relationships/hyperlink" Id="rId79" Target="https://CRAN.R-project.org/package=patchwork" TargetMode="External" /><Relationship Type="http://schemas.openxmlformats.org/officeDocument/2006/relationships/hyperlink" Id="rId83" Target="https://CRAN.R-project.org/package=readxl" TargetMode="External" /><Relationship Type="http://schemas.openxmlformats.org/officeDocument/2006/relationships/hyperlink" Id="rId87" Target="https://CRAN.R-project.org/package=rworldmap" TargetMode="External" /><Relationship Type="http://schemas.openxmlformats.org/officeDocument/2006/relationships/hyperlink" Id="rId69" Target="https://CRAN.R-project.org/package=viridis" TargetMode="External" /><Relationship Type="http://schemas.openxmlformats.org/officeDocument/2006/relationships/hyperlink" Id="rId65" Target="https://CRAN.R-project.org/package=wbstats" TargetMode="External" /><Relationship Type="http://schemas.openxmlformats.org/officeDocument/2006/relationships/hyperlink" Id="rId73"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8" Target="https://appsso.eurostat.ec.europa.eu/nui/show.do?dataset=lfst_hhnhtych&amp;lang=en" TargetMode="External" /><Relationship Type="http://schemas.openxmlformats.org/officeDocument/2006/relationships/hyperlink" Id="rId104" Target="https://doi.org/10.1080/09535314.2014.935298" TargetMode="External" /><Relationship Type="http://schemas.openxmlformats.org/officeDocument/2006/relationships/hyperlink" Id="rId96" Target="https://ec.europa.eu/eurostat/documents/54431/1966394/HBS2015_Transmission_DOC_V3.2018_05_22.pdf" TargetMode="External" /><Relationship Type="http://schemas.openxmlformats.org/officeDocument/2006/relationships/hyperlink" Id="rId102"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9" Target="https://joss.theoj.org/papers/10.21105/joss.01686" TargetMode="External" /><Relationship Type="http://schemas.openxmlformats.org/officeDocument/2006/relationships/hyperlink" Id="rId53" Target="https://onlinelibrary.wiley.com/doi/abs/10.1111/jiec.12715" TargetMode="External" /><Relationship Type="http://schemas.openxmlformats.org/officeDocument/2006/relationships/hyperlink" Id="rId107" Target="https://rdcu.be/SOJx" TargetMode="External" /><Relationship Type="http://schemas.openxmlformats.org/officeDocument/2006/relationships/hyperlink" Id="rId38" Target="https://stats.oecd.org/index.aspx?queryid=84864#" TargetMode="External" /><Relationship Type="http://schemas.openxmlformats.org/officeDocument/2006/relationships/hyperlink" Id="rId57" Target="https://www.R-project.org/"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100" Target="http://www.ssb.no/en/statbanken/statbank/table/10986/" TargetMode="External" /><Relationship Type="http://schemas.openxmlformats.org/officeDocument/2006/relationships/hyperlink" Id="rId67" Target="https://CRAN.R-project.org/package=ISOcodes" TargetMode="External" /><Relationship Type="http://schemas.openxmlformats.org/officeDocument/2006/relationships/hyperlink" Id="rId85" Target="https://CRAN.R-project.org/package=flextable" TargetMode="External" /><Relationship Type="http://schemas.openxmlformats.org/officeDocument/2006/relationships/hyperlink" Id="rId77" Target="https://CRAN.R-project.org/package=ggridges" TargetMode="External" /><Relationship Type="http://schemas.openxmlformats.org/officeDocument/2006/relationships/hyperlink" Id="rId89" Target="https://CRAN.R-project.org/package=ggthemes" TargetMode="External" /><Relationship Type="http://schemas.openxmlformats.org/officeDocument/2006/relationships/hyperlink" Id="rId75" Target="https://CRAN.R-project.org/package=glue" TargetMode="External" /><Relationship Type="http://schemas.openxmlformats.org/officeDocument/2006/relationships/hyperlink" Id="rId63" Target="https://CRAN.R-project.org/package=here" TargetMode="External" /><Relationship Type="http://schemas.openxmlformats.org/officeDocument/2006/relationships/hyperlink" Id="rId71" Target="https://CRAN.R-project.org/package=hrbrthemes" TargetMode="External" /><Relationship Type="http://schemas.openxmlformats.org/officeDocument/2006/relationships/hyperlink" Id="rId61" Target="https://CRAN.R-project.org/package=janitor" TargetMode="External" /><Relationship Type="http://schemas.openxmlformats.org/officeDocument/2006/relationships/hyperlink" Id="rId81" Target="https://CRAN.R-project.org/package=kableExtra" TargetMode="External" /><Relationship Type="http://schemas.openxmlformats.org/officeDocument/2006/relationships/hyperlink" Id="rId79" Target="https://CRAN.R-project.org/package=patchwork" TargetMode="External" /><Relationship Type="http://schemas.openxmlformats.org/officeDocument/2006/relationships/hyperlink" Id="rId83" Target="https://CRAN.R-project.org/package=readxl" TargetMode="External" /><Relationship Type="http://schemas.openxmlformats.org/officeDocument/2006/relationships/hyperlink" Id="rId87" Target="https://CRAN.R-project.org/package=rworldmap" TargetMode="External" /><Relationship Type="http://schemas.openxmlformats.org/officeDocument/2006/relationships/hyperlink" Id="rId69" Target="https://CRAN.R-project.org/package=viridis" TargetMode="External" /><Relationship Type="http://schemas.openxmlformats.org/officeDocument/2006/relationships/hyperlink" Id="rId65" Target="https://CRAN.R-project.org/package=wbstats" TargetMode="External" /><Relationship Type="http://schemas.openxmlformats.org/officeDocument/2006/relationships/hyperlink" Id="rId73"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8" Target="https://appsso.eurostat.ec.europa.eu/nui/show.do?dataset=lfst_hhnhtych&amp;lang=en" TargetMode="External" /><Relationship Type="http://schemas.openxmlformats.org/officeDocument/2006/relationships/hyperlink" Id="rId104" Target="https://doi.org/10.1080/09535314.2014.935298" TargetMode="External" /><Relationship Type="http://schemas.openxmlformats.org/officeDocument/2006/relationships/hyperlink" Id="rId96" Target="https://ec.europa.eu/eurostat/documents/54431/1966394/HBS2015_Transmission_DOC_V3.2018_05_22.pdf" TargetMode="External" /><Relationship Type="http://schemas.openxmlformats.org/officeDocument/2006/relationships/hyperlink" Id="rId102"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9" Target="https://joss.theoj.org/papers/10.21105/joss.01686" TargetMode="External" /><Relationship Type="http://schemas.openxmlformats.org/officeDocument/2006/relationships/hyperlink" Id="rId53" Target="https://onlinelibrary.wiley.com/doi/abs/10.1111/jiec.12715" TargetMode="External" /><Relationship Type="http://schemas.openxmlformats.org/officeDocument/2006/relationships/hyperlink" Id="rId107" Target="https://rdcu.be/SOJx" TargetMode="External" /><Relationship Type="http://schemas.openxmlformats.org/officeDocument/2006/relationships/hyperlink" Id="rId38" Target="https://stats.oecd.org/index.aspx?queryid=84864#" TargetMode="External" /><Relationship Type="http://schemas.openxmlformats.org/officeDocument/2006/relationships/hyperlink" Id="rId57" Target="https://www.R-project.org/"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2021-02-11T19:39:01Z</dcterms:created>
  <dcterms:modified xsi:type="dcterms:W3CDTF">2021-02-11T19:39:01Z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x pages, x tables, x figures</vt:lpwstr>
  </property>
  <property fmtid="{D5CDD505-2E9C-101B-9397-08002B2CF9AE}" pid="5" name="csl">
    <vt:lpwstr>../templates/vancouver.csl</vt:lpwstr>
  </property>
  <property fmtid="{D5CDD505-2E9C-101B-9397-08002B2CF9AE}" pid="6" name="output">
    <vt:lpwstr/>
  </property>
</Properties>
</file>