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08</w:t>
      </w:r>
      <w:r>
        <w:t xml:space="preserve"> </w:t>
      </w:r>
      <w:r>
        <w:t xml:space="preserve">Dezember,</w:t>
      </w:r>
      <w:r>
        <w:t xml:space="preserve"> </w:t>
      </w:r>
      <w:r>
        <w:t xml:space="preserve">2020</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In 2016, the average energy footprint of EU citizens was X Gj and the carbon footprint X tonnes CO2e per capita</w:t>
      </w:r>
      <w:r>
        <w:t xml:space="preserve"> </w:t>
      </w:r>
      <w:r>
        <w:t xml:space="preserve">(Ivanova et al., 2017)</w:t>
      </w:r>
      <w:r>
        <w:t xml:space="preserve">. However, the differences in average energy and carbon footprints are large within and between different regions in the EU. Energy footprints ranged from X to Y in 2016</w:t>
      </w:r>
      <w:r>
        <w:t xml:space="preserve"> </w:t>
      </w:r>
      <w:r>
        <w:t xml:space="preserve">(Oswald et al., 2020)</w:t>
      </w:r>
      <w:r>
        <w:t xml:space="preserve"> </w:t>
      </w:r>
      <w:r>
        <w:t xml:space="preserve">and carbon footprints between X and Y in the same year</w:t>
      </w:r>
      <w:r>
        <w:t xml:space="preserve"> </w:t>
      </w:r>
      <w:r>
        <w:t xml:space="preserve">(Ivanova et al., 2017)</w:t>
      </w:r>
      <w:r>
        <w:t xml:space="preserve">. Depending on the assumptions of different global mitigation scenarios, the average footprints need to be reduced to between X and Y GJ or X and Y tCO2e per capita 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covering 30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30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We use households normalized by adult equivalent unit as the unit of analysis, following the EUROSTAT HBS. The adult equivalent units from EUROSTAT adjust for household size in different countries and income groups.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 The data and procedures are described in detail in the supplementary information (SI).</w:t>
      </w:r>
    </w:p>
    <w:p>
      <w:pPr>
        <w:pStyle w:val="Heading1"/>
      </w:pPr>
      <w:bookmarkStart w:id="22" w:name="results"/>
      <w:r>
        <w:t xml:space="preserve">Results</w:t>
      </w:r>
      <w:bookmarkEnd w:id="22"/>
    </w:p>
    <w:p>
      <w:pPr>
        <w:pStyle w:val="Heading2"/>
      </w:pPr>
      <w:bookmarkStart w:id="23" w:name="X26300b2b5605988fcaa0fef1c2d3a9c6379bd1b"/>
      <w:r>
        <w:t xml:space="preserve">Resource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7.24164, 3.4524673 and 2.6048855, respectively. Total expenditure ranged from 0.2 trn€ to 1.2trn€ (or X to Y per adult equivalent) across bottom and top decile, the energy footprint from 4.5 EJ to 15 EJ (or 132GJ/ae to 457 GJ/ae), and the GHG footprint from 220 MtCO2eq to 610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 MJ/€ in the bottom decile to less than half (12 MJ/€) in the top decile. Additionally, the GHG intensity of energy use was also higher in the bottom decile (53gCO2eq/TJ) compared to the top decile (40 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6991"/>
            <wp:effectExtent b="0" l="0" r="0" t="0"/>
            <wp:docPr descr="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4"/>
                    <a:stretch>
                      <a:fillRect/>
                    </a:stretch>
                  </pic:blipFill>
                  <pic:spPr bwMode="auto">
                    <a:xfrm>
                      <a:off x="0" y="0"/>
                      <a:ext cx="5943600" cy="3966991"/>
                    </a:xfrm>
                    <a:prstGeom prst="rect">
                      <a:avLst/>
                    </a:prstGeom>
                    <a:noFill/>
                    <a:ln w="9525">
                      <a:noFill/>
                      <a:headEnd/>
                      <a:tailEnd/>
                    </a:ln>
                  </pic:spPr>
                </pic:pic>
              </a:graphicData>
            </a:graphic>
          </wp:inline>
        </w:drawing>
      </w:r>
    </w:p>
    <w:p>
      <w:pPr>
        <w:pStyle w:val="ImageCaption"/>
      </w:pPr>
      <w:r>
        <w:t xml:space="preserve">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background to this is the unequal distribution of income in Europe, which, especially in the East, is much lower than in Central and Northern Europe. In most of Eastern European countries, between 80-100% of the population falls within the bottom four European deciles. In Scandinavia, Germany, France, Austria, the Netherlands, Belgium, the UK, and Ireland fewer than 20% of the population belong to the bottom four European deciles (Supplementary figure map). [</w:t>
      </w:r>
      <w:r>
        <w:rPr>
          <w:i/>
        </w:rPr>
        <w:t xml:space="preserve">Here a sentence quoting literature or EXIOBASE to show that a number of Eastern European countries have much higher intensities due to, e.g. coal use.</w:t>
      </w:r>
      <w:r>
        <w:t xml:space="preserve">] Note that our analysis is based on average expenditure data from five income groups at the national level. This aggregation cuts off the lower and upper ends of the respective national expenditure distributions.</w:t>
      </w:r>
    </w:p>
    <w:p>
      <w:pPr>
        <w:pStyle w:val="BodyText"/>
      </w:pPr>
      <w:r>
        <w:t xml:space="preserve">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Figure</w:t>
      </w:r>
      <w:r>
        <w:t xml:space="preserve"> </w:t>
      </w:r>
      <w:r>
        <w:t xml:space="preserve">2</w:t>
      </w:r>
      <w:r>
        <w:t xml:space="preserve"> </w:t>
      </w:r>
      <w:r>
        <w:t xml:space="preserve">shows that both of these factors play a role. Poorer households on average, spend larger shares of their expenditure in the shelter sector. The bottom and top deciles spend an average of 4% and 11%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(1.7 kgCO2eq/€). Households in the top decile spend about 57% in the service sector that has the lowset GHG intensity, compared to 37%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quantiles.</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 10 times higher in the top decile compared to the bottom deciles (corroborating findings in</w:t>
      </w:r>
      <w:r>
        <w:t xml:space="preserve"> </w:t>
      </w:r>
      <w:r>
        <w:t xml:space="preserve">(Ivanova et al., 2020)</w:t>
      </w:r>
      <w:r>
        <w:t xml:space="preserve"> and</w:t>
      </w:r>
      <w:r>
        <w:t xml:space="preserve"> </w:t>
      </w:r>
      <w:r>
        <w:t xml:space="preserve">(Oswald et al., 2020)</w:t>
      </w:r>
      <w:r>
        <w:t xml:space="preserve">). Manufactured goods Manufactured goods were the second most unequal consumption category (S90/S10 ratios around 5.3 for both footprints), followed by services (S90/S10 ratios of 4.4 for carbon and 4.9 for energy) and then food (S90/S10 ratios of 2.1 for both footprints).</w:t>
      </w:r>
    </w:p>
    <w:p>
      <w:pPr>
        <w:pStyle w:val="CaptionedFigure"/>
      </w:pPr>
      <w:r>
        <w:drawing>
          <wp:inline>
            <wp:extent cx="5943600" cy="3704431"/>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27"/>
                    <a:stretch>
                      <a:fillRect/>
                    </a:stretch>
                  </pic:blipFill>
                  <pic:spPr bwMode="auto">
                    <a:xfrm>
                      <a:off x="0" y="0"/>
                      <a:ext cx="5943600" cy="3704431"/>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In order to assess the level of inequality in energy footprints that is compatible with global 1.5°C scenarios we take two steps:</w:t>
      </w:r>
    </w:p>
    <w:p>
      <w:pPr>
        <w:numPr>
          <w:numId w:val="1001"/>
          <w:ilvl w:val="0"/>
        </w:numPr>
      </w:pPr>
      <w:r>
        <w:t xml:space="preserve">We apply a per sector current empirical best technology transformation to all consumption across Europe and assess the energy (and emissions) savings in the expenditure deciles and countries.</w:t>
      </w:r>
    </w:p>
    <w:p>
      <w:pPr>
        <w:numPr>
          <w:numId w:val="1001"/>
          <w:ilvl w:val="0"/>
        </w:numPr>
      </w:pPr>
      <w:r>
        <w:t xml:space="preserve">We show how the inequality in the current energy distribution of European expenditure needs to be transformed to be compatible in the space created by the two constraints taken from the global 1.5°C scenarios. The first is total available energy supply (as average per household) and the second is minimal energy for decent living demand.</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Points to hit:</w:t>
      </w:r>
    </w:p>
    <w:p>
      <w:pPr>
        <w:numPr>
          <w:numId w:val="1002"/>
          <w:ilvl w:val="0"/>
        </w:numPr>
      </w:pPr>
      <w:r>
        <w:t xml:space="preserve">Improving energy efficiency is the most politically uncontroversial step towards mitigation targets. The EU has a bunch of policies for that, old and new. The GD has a transition fund to pay for this for poorer countries, sort of.</w:t>
      </w:r>
    </w:p>
    <w:p>
      <w:pPr>
        <w:numPr>
          <w:numId w:val="1002"/>
          <w:ilvl w:val="0"/>
        </w:numPr>
      </w:pPr>
      <w:r>
        <w:t xml:space="preserve">We have seen that the 10th decile has the best energy and GHG efficiency, so we take those average values and apply them to all consumption in Europe. We have to discuss some implicit assumptions. We basically assume efficiency differences are losses between primary energy and final demand. There could also be losses between final demand and energy service (that require more infrastructural change) or there could be different levels of energy service demand (population density, age structure, climate, etc). We could argue that this is why we take the average of decile 10, which covers some countries (</w:t>
      </w:r>
      <w:r>
        <w:rPr>
          <w:i/>
        </w:rPr>
        <w:t xml:space="preserve">does it?</w:t>
      </w:r>
      <w:r>
        <w:t xml:space="preserve">) but it is a limitation of sorts.</w:t>
      </w:r>
    </w:p>
    <w:p>
      <w:pPr>
        <w:numPr>
          <w:numId w:val="1002"/>
          <w:ilvl w:val="0"/>
        </w:numPr>
      </w:pPr>
      <w:r>
        <w:t xml:space="preserve">Here I would then show a combined figure 4 with Ingram’s distribution and the red line (coordinates flipped) and a map that shows energy savings in countries. Short summary of what these numbers are for expenditure decile and countries</w:t>
      </w:r>
    </w:p>
    <w:p>
      <w:pPr>
        <w:pStyle w:val="FirstParagraph"/>
      </w:pPr>
      <w:r>
        <w:t xml:space="preserve">Text:</w:t>
      </w:r>
    </w:p>
    <w:p>
      <w:pPr>
        <w:pStyle w:val="BodyText"/>
      </w:pPr>
      <w:r>
        <w:t xml:space="preserve">Our European inequality results have shown the inequality in energy and carbon intensities between the deciles, and that the 10th decile has the best energy and GHG efficiency. Improving energy and GHG efficiency will lead to energy and emissions savings, especially in the lower deciles, an important step towards achieving mitigation targets for Europe as a whole. Figure 4 shows the energy footprint savings per decile (Fig. 4a) that would have occurred in 2015 if all deciles had the same efficiency per aggregated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 for Bulgaria and Estonia for example.</w:t>
      </w:r>
    </w:p>
    <w:p>
      <w:pPr>
        <w:pStyle w:val="Heading2"/>
      </w:pPr>
      <w:bookmarkStart w:id="31" w:name="inequality-in-a-1.5c-compatible-europe"/>
      <w:r>
        <w:t xml:space="preserve">Inequality in a 1.5°C compatible Europe</w:t>
      </w:r>
      <w:bookmarkEnd w:id="31"/>
    </w:p>
    <w:p>
      <w:pPr>
        <w:pStyle w:val="FirstParagraph"/>
      </w:pPr>
      <w:r>
        <w:t xml:space="preserve">Points to hit:</w:t>
      </w:r>
    </w:p>
    <w:p>
      <w:pPr>
        <w:numPr>
          <w:numId w:val="1003"/>
          <w:ilvl w:val="0"/>
        </w:numPr>
      </w:pPr>
      <w:r>
        <w:t xml:space="preserve">We introduce the main global 1.5°C compatible scenarios with their energy supply and their assumptions for minimal energy demand for a decent life (maybe table).</w:t>
      </w:r>
    </w:p>
    <w:p>
      <w:pPr>
        <w:numPr>
          <w:numId w:val="1003"/>
          <w:ilvl w:val="0"/>
        </w:numPr>
      </w:pPr>
      <w:r>
        <w:t xml:space="preserve">We explain that they all give average values but say little or nothing about distribution. We then explain for one example that if we simply scale the current distribution to the mean value of a medium supply scenario, we run into problems for the lower deciles to achieve decent living energy.</w:t>
      </w:r>
    </w:p>
    <w:p>
      <w:pPr>
        <w:numPr>
          <w:numId w:val="1003"/>
          <w:ilvl w:val="0"/>
        </w:numPr>
      </w:pPr>
      <w:r>
        <w:t xml:space="preserve">We then explain how to do this more generically pointing to figure 5 that shows the scenario space.</w:t>
      </w:r>
    </w:p>
    <w:p>
      <w:pPr>
        <w:pStyle w:val="FirstParagraph"/>
      </w:pPr>
      <w:r>
        <w:t xml:space="preserve">Text:</w:t>
      </w:r>
    </w:p>
    <w:p>
      <w:pPr>
        <w:pStyle w:val="BodyText"/>
      </w:pPr>
      <w:r>
        <w:t xml:space="preserve">Global 1.5°C compatible decarbonisation scenarios achieve a similar climate outcome with different assumptions about the transformation of energy supply and demand, from renewable capacity, deployment of carbon-capture-and-storage (CCS), and socio-technological transformation. All scenarios give average final energy use values but say little about distribution beyond different values for different world regions. Using our European inequality results, we see that at current distribution, achieving the average final energy use of a given scenario means achieving it at the mean, not equally per capita. The lower deciles would need to consume final energy below the mean, and the wealthier deciles could consume above the mean. Because of this, whichever mean energy level is achieved unequally, minimum energy for decent living in the lower deciles becomes an additional constraint. Minimum energy for decent living is estimated variously between 16 to 53 GJ/capita or higher, depending on different judgments about</w:t>
      </w:r>
      <w:r>
        <w:t xml:space="preserve"> </w:t>
      </w:r>
      <w:r>
        <w:t xml:space="preserve">‘</w:t>
      </w:r>
      <w:r>
        <w:t xml:space="preserve">decent living</w:t>
      </w:r>
      <w:r>
        <w:t xml:space="preserve">’</w:t>
      </w:r>
      <w:r>
        <w:t xml:space="preserve"> </w:t>
      </w:r>
      <w:r>
        <w:t xml:space="preserve">and assumptions about the infrastructural transformations underpinning the provision of energy services (ref). If a mean energy level is achieved while leaving perhaps multiple deciles below a minimum energy threshold, the only lever available to satisfy both constraints is a reduction in inequality.</w:t>
      </w:r>
    </w:p>
    <w:p>
      <w:pPr>
        <w:pStyle w:val="BodyText"/>
      </w:pPr>
      <w:r>
        <w:t xml:space="preserve">Fig. 5 shows this option space between achieving mean energy in five decarbonisation scenarios, and the trade-off between achieving minimum energy requirements as well (x-axis), and the level of inequality required to achieve both (y-axis). In Figure 5, all deciles have the same technology as the tenth decile, as shown in Figure 4. For example, to achieve mean energy of 87 GJ/cap (as in the SSP1-1.9 scenario) and minimum energy of 27 GJ/cap for all, inequality would need to decrease from the current 10:10 ratio around 7 to just over 6. At current inequality levels, only those scenarios with heavy CCS deployment and GEA efficiency are possible if we assume likely overly optimistic minimum energy requirements (below 27 GJ/cap). This 27 GJ/capita is the value the low-energy demand (LED) scenario (with strong demand-side effort) gives for the global South in 2050, with the global North at 53 GJ/cap. If we assumed minimum energy requirements to be 53 GJ/cap,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discussion"/>
      <w:r>
        <w:t xml:space="preserve">Discussion</w:t>
      </w:r>
      <w:bookmarkEnd w:id="33"/>
    </w:p>
    <w:p>
      <w:pPr>
        <w:pStyle w:val="Heading1"/>
      </w:pPr>
      <w:bookmarkStart w:id="34" w:name="conclusion"/>
      <w:r>
        <w:t xml:space="preserve">Conclusion</w:t>
      </w:r>
      <w:bookmarkEnd w:id="34"/>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49" w:name="refs"/>
    <w:bookmarkStart w:id="38"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7">
        <w:r>
          <w:rPr>
            <w:rStyle w:val="Hyperlink"/>
          </w:rPr>
          <w:t xml:space="preserve">https://doi.org/10.1038/s41558-018-0121-1</w:t>
        </w:r>
      </w:hyperlink>
    </w:p>
    <w:bookmarkEnd w:id="38"/>
    <w:bookmarkStart w:id="40"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39">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0"/>
    <w:bookmarkStart w:id="42"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41">
        <w:r>
          <w:rPr>
            <w:rStyle w:val="Hyperlink"/>
          </w:rPr>
          <w:t xml:space="preserve">https://doi.org/10.1088/1748-9326/ab8589</w:t>
        </w:r>
      </w:hyperlink>
    </w:p>
    <w:bookmarkEnd w:id="42"/>
    <w:bookmarkStart w:id="44" w:name="ref-ivanova_mapping_2017"/>
    <w:p>
      <w:pPr>
        <w:pStyle w:val="Bibliography"/>
      </w:pPr>
      <w:r>
        <w:t xml:space="preserve">Ivanova, D., Vita, G., Steen-Olsen, K., Stadler, K., Melo, P.C., Wood, R., Hertwich, E.G., 2017. Mapping the carbon footprint of EU regions. Environmental Research Letters 12, 054013.</w:t>
      </w:r>
      <w:r>
        <w:t xml:space="preserve"> </w:t>
      </w:r>
      <w:hyperlink r:id="rId43">
        <w:r>
          <w:rPr>
            <w:rStyle w:val="Hyperlink"/>
          </w:rPr>
          <w:t xml:space="preserve">https://doi.org/10.1088/1748-9326/aa6da9</w:t>
        </w:r>
      </w:hyperlink>
    </w:p>
    <w:bookmarkEnd w:id="44"/>
    <w:bookmarkStart w:id="46"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45">
        <w:r>
          <w:rPr>
            <w:rStyle w:val="Hyperlink"/>
          </w:rPr>
          <w:t xml:space="preserve">https://doi.org/10.1016/j.gloenvcha.2020.102168</w:t>
        </w:r>
      </w:hyperlink>
    </w:p>
    <w:bookmarkEnd w:id="46"/>
    <w:bookmarkStart w:id="48"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7">
        <w:r>
          <w:rPr>
            <w:rStyle w:val="Hyperlink"/>
          </w:rPr>
          <w:t xml:space="preserve">https://doi.org/10.1038/s41560-020-0579-8</w:t>
        </w:r>
      </w:hyperlink>
    </w:p>
    <w:bookmarkEnd w:id="48"/>
    <w:bookmarkEnd w:id="49"/>
    <w:p>
      <w:r>
        <w:br w:type="page"/>
      </w:r>
    </w:p>
    <w:p>
      <w:pPr>
        <w:pStyle w:val="Heading3"/>
      </w:pPr>
      <w:bookmarkStart w:id="50" w:name="colophon"/>
      <w:r>
        <w:t xml:space="preserve">Colophon</w:t>
      </w:r>
      <w:bookmarkEnd w:id="50"/>
    </w:p>
    <w:p>
      <w:pPr>
        <w:pStyle w:val="FirstParagraph"/>
      </w:pPr>
      <w:r>
        <w:t xml:space="preserve">This report was generated on 2020-12-08 14:10:38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2020-12-08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knitr         1.28       2020-02-06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[2d2664c] 2020-12-08: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45" Target="https://doi.org/10.1016/j.gloenvcha.2020.102168" TargetMode="External" /><Relationship Type="http://schemas.openxmlformats.org/officeDocument/2006/relationships/hyperlink" Id="rId37" Target="https://doi.org/10.1038/s41558-018-0121-1" TargetMode="External" /><Relationship Type="http://schemas.openxmlformats.org/officeDocument/2006/relationships/hyperlink" Id="rId47" Target="https://doi.org/10.1038/s41560-020-0579-8" TargetMode="External" /><Relationship Type="http://schemas.openxmlformats.org/officeDocument/2006/relationships/hyperlink" Id="rId43" Target="https://doi.org/10.1088/1748-9326/aa6da9" TargetMode="External" /><Relationship Type="http://schemas.openxmlformats.org/officeDocument/2006/relationships/hyperlink" Id="rId41" Target="https://doi.org/10.1088/1748-9326/ab8589"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45" Target="https://doi.org/10.1016/j.gloenvcha.2020.102168" TargetMode="External" /><Relationship Type="http://schemas.openxmlformats.org/officeDocument/2006/relationships/hyperlink" Id="rId37" Target="https://doi.org/10.1038/s41558-018-0121-1" TargetMode="External" /><Relationship Type="http://schemas.openxmlformats.org/officeDocument/2006/relationships/hyperlink" Id="rId47" Target="https://doi.org/10.1038/s41560-020-0579-8" TargetMode="External" /><Relationship Type="http://schemas.openxmlformats.org/officeDocument/2006/relationships/hyperlink" Id="rId43" Target="https://doi.org/10.1088/1748-9326/aa6da9" TargetMode="External" /><Relationship Type="http://schemas.openxmlformats.org/officeDocument/2006/relationships/hyperlink" Id="rId41" Target="https://doi.org/10.1088/1748-9326/ab8589"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2020-12-08T13:10:41Z</dcterms:created>
  <dcterms:modified xsi:type="dcterms:W3CDTF">2020-12-08T13:10:41Z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08 Dezember, 2020</vt:lpwstr>
  </property>
  <property fmtid="{D5CDD505-2E9C-101B-9397-08002B2CF9AE}" pid="6" name="highlights">
    <vt:lpwstr>These are the highlights.</vt:lpwstr>
  </property>
  <property fmtid="{D5CDD505-2E9C-101B-9397-08002B2CF9AE}" pid="7" name="output">
    <vt:lpwstr/>
  </property>
</Properties>
</file>