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examined the space of possible distributions of household energy and carbon footprints that satisfy both minimal energy requirements for a decent living and maximum supply of decarbonized energy to achieve the 1.5 degree target in 2050 for the populations of 28 European countries. Estimates for a range of minimum energy requirements for a decent life, as well as estimates for the maximum available energy supply, were taken from the 1.5 degree scenario literature. The maximum available energy supply is determined by how quickly the emission intensity of the global energy system can be reduced (expansion of renewables, efficiency improvements, etc.) so that the global energy mix remains within the specified emission reduction pathways. [not finished yet]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corridor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consumption categories, and compare this current structure to a hypothetical situation where all European deciles use the best technology available in Europe. Finally we examine how the energy inequality across European household expenditure deciles would need to change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emission savings targets, a quantification of the attainable corridor for 1.5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 industry-by-industry)</w:t>
      </w:r>
      <w:r>
        <w:t xml:space="preserve"> </w:t>
      </w:r>
      <w:r>
        <w:t xml:space="preserve">(8)</w:t>
      </w:r>
      <w:r>
        <w:t xml:space="preserve"> </w:t>
      </w:r>
      <w:r>
        <w:t xml:space="preserve">and the European household budget survey (HBS) macro-data from EUROSTAT for 2015</w:t>
      </w:r>
      <w:r>
        <w:t xml:space="preserve"> </w:t>
      </w:r>
      <w:r>
        <w:t xml:space="preserve">(9)</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 (PPS), by COICOP consumption category, country and year. We choose EXIOBASE as the EE-MRIO for this study because of its European focus, with nearly all countries in the EUROSTAT HBS also found as stand-alone countries in EXIOBASE (see SI - table 5), its detailed satellite extension data, and its year coverage.</w:t>
      </w:r>
    </w:p>
    <w:p>
      <w:pPr>
        <w:pStyle w:val="BodyText"/>
      </w:pPr>
      <w:r>
        <w:t xml:space="preserve">To integrate HBS data into EXIOBASE we created correspondence tables between the EXIOBASE sectors and the matching COICOP consumption categories used in HBS (see SI, p xx for details). We then used the relative shares of the COICOP consumption categories of each income quintile in the HBS to decompose the matching EXIOBASE national household final demand expenditure per sector and per income quintile. Using standard input-output techniques (see SI) we calculated</w:t>
      </w:r>
      <w:r>
        <w:t xml:space="preserve"> </w:t>
      </w:r>
      <w:r>
        <w:t xml:space="preserve">‘</w:t>
      </w:r>
      <w:r>
        <w:t xml:space="preserve">total</w:t>
      </w:r>
      <w:r>
        <w:t xml:space="preserve">’</w:t>
      </w:r>
      <w:r>
        <w:t xml:space="preserve"> </w:t>
      </w:r>
      <w:r>
        <w:t xml:space="preserve">(i.e. indirect supply chain) energy use and carbon intensities per EXIOBASE sector and multiplied them with the income-stratified EXIOBASE national household expenditure, to estimate the supply chain part of national household energy and carbon footprints by national income quintile.</w:t>
      </w:r>
    </w:p>
    <w:p>
      <w:pPr>
        <w:pStyle w:val="BodyText"/>
      </w:pPr>
      <w:r>
        <w:t xml:space="preserve">We used the energy use extensions</w:t>
      </w:r>
      <w:r>
        <w:t xml:space="preserve"> </w:t>
      </w:r>
      <w:r>
        <w:t xml:space="preserve">‘</w:t>
      </w:r>
      <w:r>
        <w:t xml:space="preserve">gross total energy use</w:t>
      </w:r>
      <w:r>
        <w:t xml:space="preserve">’</w:t>
      </w:r>
      <w:r>
        <w:t xml:space="preserve"> </w:t>
      </w:r>
      <w:r>
        <w:t xml:space="preserve">from EXIOBASE, which converts final energy consumption in the IEA energy balance data from the territorial to residence principle following SEEA energy accounting</w:t>
      </w:r>
      <w:r>
        <w:t xml:space="preserve"> </w:t>
      </w:r>
      <w:r>
        <w:t xml:space="preserve">(8)</w:t>
      </w:r>
      <w:r>
        <w:t xml:space="preserve"> </w:t>
      </w:r>
      <w:r>
        <w:t xml:space="preserve">and the EXIOBASE GHG emission extensions CO2, CH4, N2O, SF6, HFCs and PFCs, from combustion, non-combustion, agriculture and waste, but not land-use change.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HBS of 28 European countries (in total 140 national quintiles) according to their mean expenditure in PPS and aggregated the result to 10 European expenditure groups. For brevity we call them expenditure deciles in the rest of the paper. Our coverage of European countries is limited to those included in both the EUROSTAT HBS data and EXIOBASE in 2015. This resulted in a country sample that includes the non-EU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decile because this is how the EUROSTAT HBS publishes its data. The first adult in the household is given a weight of 1.0, each adult thereafter 0.5, and each child 0.3</w:t>
      </w:r>
      <w:r>
        <w:t xml:space="preserve"> </w:t>
      </w:r>
      <w:r>
        <w:t xml:space="preserve">(10)</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 scenarios to adult equivalents in order to better compare with our environmental footprint estimates (see SI pp xx for details). Data on decarbonization scenarios, Minimum final energy use for a decent living are from Grubler et al. (2018)</w:t>
      </w:r>
      <w:r>
        <w:t xml:space="preserve"> </w:t>
      </w:r>
      <w:r>
        <w:t xml:space="preserve">(2)</w:t>
      </w:r>
      <w:r>
        <w:t xml:space="preserve"> </w:t>
      </w:r>
      <w:r>
        <w:t xml:space="preserve">and Millward-Hopkins et al. (2020)</w:t>
      </w:r>
      <w:r>
        <w:t xml:space="preserve"> </w:t>
      </w:r>
      <w:r>
        <w:t xml:space="preserve">(3)</w:t>
      </w:r>
      <w:r>
        <w:t xml:space="preserve">, maximum final energy use compatible with the 1.5 degree target is from the IIASA scenario database</w:t>
      </w:r>
      <w:r>
        <w:t xml:space="preserve"> </w:t>
      </w:r>
      <w:r>
        <w:t xml:space="preserve">(11)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an hypothetical current best technology distribution across European household expenditure deciles, for each value combination of maximum energy supply from [xx] scenarios [REF] and minimum energy use requirements from [REF], the maximum permissible inequality was calculated as a 10:10 ratio using the formula [insert formula]. The remaining global emissions budget to achieve the 1.5 degree target from the scenarios was allocated in proportion to population (equal per capita allocation). All data and procedures are described in detail in the supplementary information (SI).</w:t>
      </w:r>
    </w:p>
    <w:p>
      <w:pPr>
        <w:pStyle w:val="Heading1"/>
      </w:pPr>
      <w:bookmarkStart w:id="26" w:name="results-and-discussion"/>
      <w:r>
        <w:t xml:space="preserve">Results and discussion</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 1b and 1c). The top decile divided by the bottom decile (the 10:10 ratio) was 7.2 for expenditure, 3.5 for energy and 2.6 for carbon (Figure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use per € expenditure (d), and the carbon intensity of energy, measured as carbon footprint per energy footprint (f), decreased from bottom to top expenditure decile. The population 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 1d and 1e. Across all population weighted intensities per deciles, the variance in the lower four deciles is much higher (Figure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consumption sectors could systematically differ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 (Figure 2). Lower-income households, on average, spend larger shares of their expenditure in the housing sector. The bottom decile spent an average of 23.9% of their household expenditure on housing, while the top decile spent 26.1%. The housing sector stands out with a carbon intensity of consumption more than 3 times higher in the bottom decile (3.4 kgCO2eq/€) than in the top decile (0.5 kgCO2eq/€). At the same time, housing is by far the most carbon intensive sector and has the highest variance in carbon intensity among expenditure deciles. Overall, with increasing decile, the shares of mobility and services expenditures increase and the shares of housing, food and goods decrease. Households in the top decile spend about 34.5% in the service sector, which has the lowest carbon intensity of all consumption sectors, compared to 25.2% in the bottom decile.</w:t>
      </w:r>
    </w:p>
    <w:p>
      <w:pPr>
        <w:pStyle w:val="BodyText"/>
      </w:pPr>
      <w:r>
        <w:t xml:space="preserve">The tendency for energy and carbon intensity to decrease with increasing affluence has been reported for the global level (ref - Hubacek?) between countries and also within Europe</w:t>
      </w:r>
      <w:r>
        <w:t xml:space="preserve"> </w:t>
      </w:r>
      <w:r>
        <w:t xml:space="preserve">(13)</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expenditure data from national income quintiles. This aggregation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We did not account here for subsidies which could also have attributed to high energy and carbon intensities (see SI limitations, pp xx).</w:t>
      </w:r>
    </w:p>
    <w:p>
      <w:pPr>
        <w:pStyle w:val="Heading2"/>
      </w:pPr>
      <w:bookmarkStart w:id="30" w:name="Xa5ec6b06a9f98c59372e9d5ceb51319bf0d5548"/>
      <w:r>
        <w:t xml:space="preserve">Inequality across final consumption sectors</w:t>
      </w:r>
      <w:bookmarkEnd w:id="30"/>
    </w:p>
    <w:p>
      <w:pPr>
        <w:pStyle w:val="FirstParagraph"/>
      </w:pPr>
      <w:r>
        <w:t xml:space="preserve">The final consumption sectors (housing, mobility, food, goods, and services) contributed very differently to the total environmental footprint of European households in 2015 (Figure 3). On average, housing and mobility are the two largest sectors, accounting for nearly two thirds of both the energy and carbon footprints. However, there are big differences between the sectors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The geographical source of the household energy and carbon footprints also varies with consumption categories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 or indirectly, i.e. embedded along household’s supply chains. The goods footprint was mostly non-European, while services and food were both around one third non-European. These results suggest that proposed future carbon border-adjustment mechanisms</w:t>
      </w:r>
      <w:r>
        <w:t xml:space="preserve"> </w:t>
      </w:r>
      <w:r>
        <w:t xml:space="preserve">(17)</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Such a lower limit depends strongly on the prevalent socio-cultural idea of what constitutes a decent life, and, perhaps even more strongly, on the physical infrastructure available to deliver this life. The two global demand side scenarios LED</w:t>
      </w:r>
      <w:r>
        <w:t xml:space="preserve"> </w:t>
      </w:r>
      <w:r>
        <w:t xml:space="preserve">(2)</w:t>
      </w:r>
      <w:r>
        <w:t xml:space="preserve"> </w:t>
      </w:r>
      <w:r>
        <w:t xml:space="preserve">and DLE</w:t>
      </w:r>
      <w:r>
        <w:t xml:space="preserve"> </w:t>
      </w:r>
      <w:r>
        <w:t xml:space="preserve">(3)</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demand numbers in perspective, the average energy footprint in our sample is 250 per adult equivalent in 2015, about a factor 5 above the high estimate. Households in the bottom European expenditure decile, which almost entirely fell within the Eurostat definition of severe material deprivation</w:t>
      </w:r>
      <w:r>
        <w:t xml:space="preserve"> </w:t>
      </w:r>
      <w:r>
        <w:t xml:space="preserve">(18)</w:t>
      </w:r>
      <w:r>
        <w:t xml:space="preserve">, still had an energy footprint of 130 GJ per adult equivalent in 2015 (roughly 80 GJ/capita), factor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life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(Figure 5).</w:t>
      </w:r>
    </w:p>
    <w:p>
      <w:pPr>
        <w:pStyle w:val="BodyText"/>
      </w:pPr>
      <w:r>
        <w:t xml:space="preserve">Both the DLE and LED scenarios satisfy energy demand for decent living and are compatible with the 1.5 degree target without resorting to CCS technologies</w:t>
      </w:r>
      <w:r>
        <w:t xml:space="preserve"> </w:t>
      </w:r>
      <w:r>
        <w:t xml:space="preserve">(3)</w:t>
      </w:r>
      <w:r>
        <w:t xml:space="preserve">. The DLE scenario explicitly envisions absolute global inequality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(53GJ/ae) and the Global South (27GJ/ae)</w:t>
      </w:r>
      <w:r>
        <w:t xml:space="preserve"> </w:t>
      </w:r>
      <w:r>
        <w:t xml:space="preserve">(2)</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minimal energy for a decent living (on the x-axis) to the corresponding energy inequality that is consistent with the average energy availability. It is clear from Figure 5 that at current inequality levels, only the two scenarios with heavy CCS deployment [add scenario acronym] and GEA efficiency are possible and only if we assume in addition extremely low minimum energy use requirements (below 27 GJ/ae). This 27 GJ/ae is roughly the value the low-energy demand (LED) scenario gives for the Global South in 2050. If we use the value given for the Global North at 53 GJ/ae as minimum energy requirements, which still requires strong demand side measures, then inequality would need to be zero in the LED scenario and cut down by factors xx to yyy in all other scenarios.</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housing,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housing,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2021-02-09 16:46:33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[48c4676] 2021-02-09: edit to do</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Többen1,3, and Helga Weisz1,2</dc:creator>
  <cp:keywords/>
  <dcterms:created xsi:type="dcterms:W3CDTF">2021-02-09T15:46:36Z</dcterms:created>
  <dcterms:modified xsi:type="dcterms:W3CDTF">2021-02-09T15:46:36Z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