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0.png" ContentType="image/png"/>
  <Override PartName="/word/media/rId42.png" ContentType="image/png"/>
  <Override PartName="/word/media/rId44.png" ContentType="image/png"/>
  <Override PartName="/word/media/rId46.png" ContentType="image/png"/>
  <Override PartName="/word/media/rId48.png" ContentType="image/png"/>
  <Override PartName="/word/media/rId50.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title</w:t>
      </w:r>
      <w:r>
        <w:t xml:space="preserve"> </w:t>
      </w:r>
      <w:r>
        <w:t xml:space="preserv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p>
    <w:p>
      <w:pPr>
        <w:pStyle w:val="BodyText"/>
      </w:pPr>
      <w:r>
        <w:t xml:space="preserve">Content: x pages, x figures</w:t>
      </w:r>
    </w:p>
    <w:p>
      <w:pPr>
        <w:pStyle w:val="Heading1"/>
      </w:pPr>
      <w:bookmarkStart w:id="20" w:name="supplementary-materials-and-methods"/>
      <w:r>
        <w:t xml:space="preserve">Supplementary Materials and Methods</w:t>
      </w:r>
      <w:bookmarkEnd w:id="20"/>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direct and indirect supply chain</w:t>
      </w:r>
      <w:r>
        <w:t xml:space="preserve">’</w:t>
      </w:r>
      <w:r>
        <w:t xml:space="preserve"> </w:t>
      </w:r>
      <w:r>
        <w:t xml:space="preserve">intensities calculated in the EE-MRIO to estimate national income-stratified footprints. An EE-MRIO is used for estimating national footprints from final demand expenditure. Final demand expenditure on different production sectors, in monetary units, is multiplied by</w:t>
      </w:r>
      <w:r>
        <w:t xml:space="preserve"> </w:t>
      </w:r>
      <w:r>
        <w:t xml:space="preserve">‘</w:t>
      </w:r>
      <w:r>
        <w:t xml:space="preserve">direct and indirect supply chain</w:t>
      </w:r>
      <w:r>
        <w:t xml:space="preserve">’</w:t>
      </w:r>
      <w:r>
        <w:t xml:space="preserve"> </w:t>
      </w:r>
      <w:r>
        <w:t xml:space="preserve">intensities per production sector to calculate the footprint (for one year). The</w:t>
      </w:r>
      <w:r>
        <w:t xml:space="preserve"> </w:t>
      </w:r>
      <w:r>
        <w:t xml:space="preserve">‘</w:t>
      </w:r>
      <w:r>
        <w:t xml:space="preserve">direct and indirect supply chain</w:t>
      </w:r>
      <w:r>
        <w:t xml:space="preserve">’</w:t>
      </w:r>
      <w:r>
        <w:t xml:space="preserve"> </w:t>
      </w:r>
      <w:r>
        <w:t xml:space="preserve">intensities per production sector estimate the total physical amount of environmental extension, whether emissions, energy, etc., anywhere along the supply chain per monetary unit of final demand expenditure. In this way, the total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direct and indirect supply chain</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1">
        <w:r>
          <w:rPr>
            <w:rStyle w:val="Hyperlink"/>
          </w:rPr>
          <w:t xml:space="preserve">https://zenodo.org/record/3583071#.XjC7kSN4wpY</w:t>
        </w:r>
      </w:hyperlink>
      <w:r>
        <w:t xml:space="preserve"> </w:t>
      </w:r>
      <w:r>
        <w:t xml:space="preserve">[accessed on 12.03.2020]</w:t>
      </w:r>
      <w:r>
        <w:t xml:space="preserve"> </w:t>
      </w:r>
      <w:r>
        <w:t xml:space="preserve">(1)</w:t>
      </w:r>
    </w:p>
    <w:p>
      <w:pPr>
        <w:numPr>
          <w:numId w:val="1001"/>
          <w:ilvl w:val="0"/>
        </w:numPr>
      </w:pPr>
      <w:r>
        <w:t xml:space="preserve">HBS: European household budget survey from EUROSTAT, macro-data, from :</w:t>
      </w:r>
      <w:r>
        <w:t xml:space="preserve"> </w:t>
      </w:r>
      <w:hyperlink r:id="rId22">
        <w:r>
          <w:rPr>
            <w:rStyle w:val="Hyperlink"/>
          </w:rPr>
          <w:t xml:space="preserve">https://ec.europa.eu/eurostat/web/household-budget-surveys/database</w:t>
        </w:r>
      </w:hyperlink>
      <w:r>
        <w:t xml:space="preserve"> </w:t>
      </w:r>
      <w:r>
        <w:t xml:space="preserve">[accessed on 22.05.2020]</w:t>
      </w:r>
      <w:r>
        <w:t xml:space="preserve"> </w:t>
      </w:r>
      <w:r>
        <w:t xml:space="preserve">(3)</w:t>
      </w:r>
    </w:p>
    <w:p>
      <w:pPr>
        <w:pStyle w:val="FirstParagraph"/>
      </w:pPr>
      <w:r>
        <w:t xml:space="preserve">We discuss each of these in turn, including additional data inputs needed to complement the HBS. We then present our methodology for our results in the main paper, and data gaps and limitations. The final</w:t>
      </w:r>
      <w:r>
        <w:t xml:space="preserve"> </w:t>
      </w:r>
      <w:r>
        <w:t xml:space="preserve">‘</w:t>
      </w:r>
      <w:r>
        <w:t xml:space="preserve">supplementary materials and methods</w:t>
      </w:r>
      <w:r>
        <w:t xml:space="preserve">’</w:t>
      </w:r>
      <w:r>
        <w:t xml:space="preserve"> </w:t>
      </w:r>
      <w:r>
        <w:t xml:space="preserve">section presents an alternative methodology, and the final section of this supplementary information document presents supplementary results from the methodology used in the main paper and the alternative methodology. The whole analysis was performed in RStudio</w:t>
      </w:r>
      <w:r>
        <w:t xml:space="preserve"> </w:t>
      </w:r>
      <w:r>
        <w:t xml:space="preserve">(4)</w:t>
      </w:r>
      <w:r>
        <w:t xml:space="preserve">, using a variety of R packages</w:t>
      </w:r>
      <w:r>
        <w:t xml:space="preserve"> </w:t>
      </w:r>
      <w:r>
        <w:t xml:space="preserve">(5)</w:t>
      </w:r>
      <w:r>
        <w:t xml:space="preserve">.</w:t>
      </w:r>
    </w:p>
    <w:p>
      <w:pPr>
        <w:pStyle w:val="Heading2"/>
      </w:pPr>
      <w:bookmarkStart w:id="23" w:name="exiobase"/>
      <w:r>
        <w:t xml:space="preserve">EXIOBASE</w:t>
      </w:r>
      <w:bookmarkEnd w:id="23"/>
    </w:p>
    <w:p>
      <w:pPr>
        <w:pStyle w:val="FirstParagraph"/>
      </w:pPr>
      <w:r>
        <w:t xml:space="preserve">We use standard input-output calculations to calculate</w:t>
      </w:r>
      <w:r>
        <w:t xml:space="preserve"> </w:t>
      </w:r>
      <w:r>
        <w:t xml:space="preserve">‘</w:t>
      </w:r>
      <w:r>
        <w:t xml:space="preserve">direct and indirect supply chain</w:t>
      </w:r>
      <w:r>
        <w:t xml:space="preserve">’</w:t>
      </w:r>
      <w:r>
        <w:t xml:space="preserve"> </w:t>
      </w:r>
      <w:r>
        <w:t xml:space="preserve">intensity vectors in EXIOBASE</w:t>
      </w:r>
      <w:r>
        <w:t xml:space="preserve"> </w:t>
      </w:r>
      <w:r>
        <w:t xml:space="preserve">(21)</w:t>
      </w:r>
      <w:r>
        <w:t xml:space="preserve">. EXIOBASE publishes the A matrix, the final demand matrix, the satellite extensions matrix, and satellite extensions direct from final demand matrix. We use the industry by 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(1)</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w:t>
      </w:r>
      <w:r>
        <w:t xml:space="preserve"> </w:t>
      </w:r>
      <w:r>
        <w:t xml:space="preserve">‘</w:t>
      </w:r>
      <w:r>
        <w:t xml:space="preserve">direct and indirect supply chain</w:t>
      </w:r>
      <w:r>
        <w:t xml:space="preserve">’</w:t>
      </w:r>
      <w:r>
        <w:t xml:space="preserve"> </w:t>
      </w:r>
      <w:r>
        <w:t xml:space="preserve">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by income quintile according to the structure of the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4" w:name="satellite-extensions"/>
      <w:r>
        <w:t xml:space="preserve">Satellite extensions</w:t>
      </w:r>
      <w:bookmarkEnd w:id="24"/>
    </w:p>
    <w:p>
      <w:pPr>
        <w:pStyle w:val="FirstParagraph"/>
      </w:pPr>
      <w:r>
        <w:t xml:space="preserve">The satellite extensions we use are emissions of CO2-equivalence (in kilograms) and gross total energy use (in terajoules). We create the CO2-equivalence extension by summing together CO2, CH4, N2O, SF6, HFCs, and PFCs, from combustion, noncombustion, agriculture and waste. We use Global Warming Potential (GWP) values for a 100-year time horizon taken from the IPCC Fifth Assessment Report</w:t>
      </w:r>
      <w:r>
        <w:t xml:space="preserve"> </w:t>
      </w:r>
      <w:r>
        <w:t xml:space="preserve">(22)</w:t>
      </w:r>
      <w:r>
        <w:t xml:space="preserve">: 28 for CH4, 265 for N2O and 23500 for SF6 (HFCs and PFCs are in CO2-equivalence already in the EXIOBASE satellite extensions).</w:t>
      </w:r>
    </w:p>
    <w:p>
      <w:pPr>
        <w:pStyle w:val="BodyText"/>
      </w:pPr>
      <w:r>
        <w:t xml:space="preserve">The</w:t>
      </w:r>
      <w:r>
        <w:t xml:space="preserve"> </w:t>
      </w:r>
      <w:r>
        <w:t xml:space="preserve">‘</w:t>
      </w:r>
      <w:r>
        <w:t xml:space="preserve">gross total energy use</w:t>
      </w:r>
      <w:r>
        <w:t xml:space="preserve">’</w:t>
      </w:r>
      <w:r>
        <w:t xml:space="preserve"> </w:t>
      </w:r>
      <w:r>
        <w:t xml:space="preserve">extension in EXIOBASE converts final energy consumption in the IEA energy balance data from the territorial to residence principle following SEEA energy accounting. In their Supporting Information 2, Stadler et al. (2018)</w:t>
      </w:r>
      <w:r>
        <w:t xml:space="preserve"> </w:t>
      </w:r>
      <w:r>
        <w:t xml:space="preserve">(1)</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use categories. This affects four transportation types: international air transport (deliveries from international aviation bunkers), international maritime transport (deliveries from international marine bunkers), fishing, and international road transport. 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5" w:name="Xc41d51128551b13356aa7c8db2f59c4b7980dfe"/>
      <w:r>
        <w:t xml:space="preserve">Satellite extensions direct from final demand</w:t>
      </w:r>
      <w:bookmarkEnd w:id="25"/>
    </w:p>
    <w:p>
      <w:pPr>
        <w:pStyle w:val="FirstParagraph"/>
      </w:pPr>
      <w:r>
        <w:t xml:space="preserve">For CO2-equivalence emissions and energy use direct from household final demand,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(23)</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6">
        <w:r>
          <w:rPr>
            <w:rStyle w:val="Hyperlink"/>
          </w:rPr>
          <w:t xml:space="preserve">http://appsso.eurostat.ec.europa.eu/nui/show.do?dataset=env_ac_pefasu</w:t>
        </w:r>
      </w:hyperlink>
      <w:r>
        <w:t xml:space="preserve"> </w:t>
      </w:r>
      <w:r>
        <w:t xml:space="preserve">[accessed on 03.06.2020].</w:t>
      </w:r>
      <w:r>
        <w:t xml:space="preserve"> </w:t>
      </w:r>
      <w:r>
        <w:t xml:space="preserve">(24)</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7">
        <w:r>
          <w:rPr>
            <w:rStyle w:val="Hyperlink"/>
          </w:rPr>
          <w:t xml:space="preserve">https://appsso.eurostat.ec.europa.eu/nui/show.do?dataset=env_ac_ainah_r2&amp;lang=en</w:t>
        </w:r>
      </w:hyperlink>
      <w:r>
        <w:t xml:space="preserve"> </w:t>
      </w:r>
      <w:r>
        <w:t xml:space="preserve">[accessed on 03.06.2020].</w:t>
      </w:r>
      <w:r>
        <w:t xml:space="preserve"> </w:t>
      </w:r>
      <w:r>
        <w:t xml:space="preserve">(25)</w:t>
      </w:r>
    </w:p>
    <w:p>
      <w:pPr>
        <w:pStyle w:val="Heading2"/>
      </w:pPr>
      <w:bookmarkStart w:id="28" w:name="eurostat-hbs"/>
      <w:r>
        <w:t xml:space="preserve">EUROSTAT HBS</w:t>
      </w:r>
      <w:bookmarkEnd w:id="28"/>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standards (PPS) per year, country and income quintile, in two possible units; per household and per adult equivalent. Purchasing power standard (PPS) is a common currency measure that eliminates differences in national price-levels. The income quintiles are determined by household, ie. all households in the sample are ranked by income and evenly distributed into five quintiles, thus there are the same number of households in each income quintile. Per adult equivalent,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(26)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only a few with level 3. For the current analysis, we select our own mix of COICOP level 1 and 2. We use COICOP level 1, except for the categories of food (CP01), housing (CP04) and transport (CP07), where we use level 2. This is primarily because of the diversity of level 2 categories within those aggregate level 1 categories. This is most clearly seen in the housing category, where, at level 2, housing is broken down into:</w:t>
      </w:r>
      <w:r>
        <w:t xml:space="preserve"> </w:t>
      </w:r>
      <w:r>
        <w:t xml:space="preserve">‘</w:t>
      </w:r>
      <w:r>
        <w:t xml:space="preserve">Actual rent</w:t>
      </w:r>
      <w:r>
        <w:t xml:space="preserve">’</w:t>
      </w:r>
      <w:r>
        <w:t xml:space="preserve"> </w:t>
      </w:r>
      <w:r>
        <w:t xml:space="preserve">(CP041),</w:t>
      </w:r>
      <w:r>
        <w:t xml:space="preserve"> </w:t>
      </w:r>
      <w:r>
        <w:t xml:space="preserve">‘</w:t>
      </w:r>
      <w:r>
        <w:t xml:space="preserve">Imputed rent</w:t>
      </w:r>
      <w:r>
        <w:t xml:space="preserve">’</w:t>
      </w:r>
      <w:r>
        <w:t xml:space="preserve"> </w:t>
      </w:r>
      <w:r>
        <w:t xml:space="preserve">(CP042),</w:t>
      </w:r>
      <w:r>
        <w:t xml:space="preserve"> </w:t>
      </w:r>
      <w:r>
        <w:t xml:space="preserve">‘</w:t>
      </w:r>
      <w:r>
        <w:t xml:space="preserve">Maintenance and repair</w:t>
      </w:r>
      <w:r>
        <w:t xml:space="preserve">’</w:t>
      </w:r>
      <w:r>
        <w:t xml:space="preserve"> </w:t>
      </w:r>
      <w:r>
        <w:t xml:space="preserve">(CP043),</w:t>
      </w:r>
      <w:r>
        <w:t xml:space="preserve"> </w:t>
      </w:r>
      <w:r>
        <w:t xml:space="preserve">‘</w:t>
      </w:r>
      <w:r>
        <w:t xml:space="preserve">Water</w:t>
      </w:r>
      <w:r>
        <w:t xml:space="preserve">’</w:t>
      </w:r>
      <w:r>
        <w:t xml:space="preserve"> </w:t>
      </w:r>
      <w:r>
        <w:t xml:space="preserve">(CP044), and</w:t>
      </w:r>
      <w:r>
        <w:t xml:space="preserve"> </w:t>
      </w:r>
      <w:r>
        <w:t xml:space="preserve">‘</w:t>
      </w:r>
      <w:r>
        <w:t xml:space="preserve">Electricity</w:t>
      </w:r>
      <w:r>
        <w:t xml:space="preserve">’</w:t>
      </w:r>
      <w:r>
        <w:t xml:space="preserve"> </w:t>
      </w:r>
      <w:r>
        <w:t xml:space="preserve">(CP045) (GET PROPER NAMES IN HERE).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We do not take COICOP level 2 across all consumption categories, however, because there are a few COICOP categories that are more disaggregated than in EXIOBASE (EXPLAIN THIS BETTER). The COICOP consumption categories we thus use are: CP011, CP012, CP02, CP03,</w:t>
      </w:r>
      <w:r>
        <w:t xml:space="preserve"> </w:t>
      </w:r>
      <w:r>
        <w:t xml:space="preserve">‘</w:t>
      </w:r>
      <w:r>
        <w:t xml:space="preserve">rent</w:t>
      </w:r>
      <w:r>
        <w:t xml:space="preserve">’</w:t>
      </w:r>
      <w:r>
        <w:t xml:space="preserve"> </w:t>
      </w:r>
      <w:r>
        <w:t xml:space="preserve">(we collapse CP041 with CP042), CP043, CP044, CP045, CP05, CP06, CP071, CP072, CP073, CP08, CP09, CP10, CP11, CP12 (INCLUDE NAMES).</w:t>
      </w:r>
    </w:p>
    <w:p>
      <w:pPr>
        <w:pStyle w:val="BodyText"/>
      </w:pPr>
      <w:r>
        <w:t xml:space="preserve">National footprints are often expressed in per capita terms; the national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In order to express our footprint estimates per household, we need the total number of private households in each country and year. In order to adjust our footprint estimates for household size, we need the average adult equivalents per household in each country, year and income quintile, or alternatively, national population in adult equivalents (using the same scale as the HBS). Additional data tables are needed for the total number of private households in each country and year. We use:</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r>
        <w:t xml:space="preserve"> </w:t>
      </w:r>
      <w:r>
        <w:t xml:space="preserve">(27)</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29">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(28)</w:t>
      </w:r>
    </w:p>
    <w:p>
      <w:pPr>
        <w:pStyle w:val="Heading2"/>
      </w:pPr>
      <w:bookmarkStart w:id="30" w:name="method-for-main-paper-results"/>
      <w:r>
        <w:t xml:space="preserve">Method for main paper results</w:t>
      </w:r>
      <w:bookmarkEnd w:id="30"/>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 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direct and indirect supply chain</w:t>
      </w:r>
      <w:r>
        <w:t xml:space="preserve">’</w:t>
      </w:r>
      <w:r>
        <w:t xml:space="preserve"> </w:t>
      </w:r>
      <w:r>
        <w:t xml:space="preserve">intensity for that production sector. We present the alternative method and some results in the last sections of this document. (Oswald et al. (2020)</w:t>
      </w:r>
      <w:r>
        <w:t xml:space="preserve"> </w:t>
      </w:r>
      <w:r>
        <w:t xml:space="preserve">(29)</w:t>
      </w:r>
      <w:r>
        <w:t xml:space="preserve"> </w:t>
      </w:r>
      <w:r>
        <w:t xml:space="preserve">discuss their use of a third option in between these two, where they recalculate intensities using HBS expenditure, still estimating different total footprints than the non-decomposed footprint but with good agreement between the two). In this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Compact"/>
      </w:pPr>
      <w:r>
        <w:t xml:space="preserve">Table 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Compact"/>
      </w:pPr>
      <w:r>
        <w:t xml:space="preserve">Table 2: HBS income quintile shares per sector multiplied by EE-MRIO household final demand expenditure vector to calculate EE-MRIO household final demand expenditure per 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861"/>
        <w:gridCol w:w="861"/>
        <w:gridCol w:w="861"/>
        <w:gridCol w:w="861"/>
        <w:gridCol w:w="861"/>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BodyText"/>
      </w:pPr>
      <w:r>
        <w:t xml:space="preserve">Step 3) Once the EE-MRIO household final demand expenditure is decomposed by income quintile, it is multiplied by the EE-MRIO</w:t>
      </w:r>
      <w:r>
        <w:t xml:space="preserve"> </w:t>
      </w:r>
      <w:r>
        <w:t xml:space="preserve">‘</w:t>
      </w:r>
      <w:r>
        <w:t xml:space="preserve">direct and indirect supply chain</w:t>
      </w:r>
      <w:r>
        <w:t xml:space="preserve">’</w:t>
      </w:r>
      <w:r>
        <w:t xml:space="preserve"> </w:t>
      </w:r>
      <w:r>
        <w:t xml:space="preserve">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w:t>
      </w:r>
    </w:p>
    <w:p>
      <w:pPr>
        <w:pStyle w:val="Compact"/>
      </w:pPr>
      <w:r>
        <w:t xml:space="preserve">Table 3: Calculation of EE-MRIO household footprint decomposed by income quintile, through multiplication of EE-MRIO household final demand expenditure per income quintile and sector by the</w:t>
      </w:r>
      <w:r>
        <w:t xml:space="preserve"> </w:t>
      </w:r>
      <w:r>
        <w:t xml:space="preserve">‘</w:t>
      </w:r>
      <w:r>
        <w:t xml:space="preserve">direct and indirect supply chain</w:t>
      </w:r>
      <w:r>
        <w:t xml:space="preserve">’</w:t>
      </w:r>
      <w:r>
        <w:t xml:space="preserve"> </w:t>
      </w:r>
      <w:r>
        <w:t xml:space="preserve">intensity vector (TIV) calculated in the EE-MRIO (with only one</w:t>
      </w:r>
      <w:r>
        <w:t xml:space="preserve"> </w:t>
      </w:r>
      <w:r>
        <w:t xml:space="preserve">‘</w:t>
      </w:r>
      <w:r>
        <w:t xml:space="preserve">direct and indirect supply chain</w:t>
      </w:r>
      <w:r>
        <w:t xml:space="preserve">’</w:t>
      </w:r>
      <w:r>
        <w:t xml:space="preserve"> </w:t>
      </w:r>
      <w:r>
        <w:t xml:space="preserve">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18"/>
        <w:gridCol w:w="1311"/>
        <w:gridCol w:w="624"/>
        <w:gridCol w:w="624"/>
        <w:gridCol w:w="624"/>
        <w:gridCol w:w="624"/>
        <w:gridCol w:w="624"/>
        <w:gridCol w:w="446"/>
        <w:gridCol w:w="624"/>
        <w:gridCol w:w="624"/>
        <w:gridCol w:w="624"/>
        <w:gridCol w:w="624"/>
        <w:gridCol w:w="624"/>
        <w:gridCol w:w="806"/>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total fp</w:t>
            </w:r>
          </w:p>
        </w:tc>
      </w:tr>
      <w:tr>
        <w:trPr>
          <w:cantSplit/>
          <w:trHeight w:val="29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w:t>
            </w:r>
          </w:p>
        </w:tc>
      </w:tr>
      <w:tr>
        <w:trPr>
          <w:cantSplit/>
          <w:trHeight w:val="29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320</w:t>
            </w:r>
          </w:p>
        </w:tc>
      </w:tr>
    </w:tbl>
    <w:p>
      <w:pPr>
        <w:pStyle w:val="Heading2"/>
      </w:pPr>
      <w:bookmarkStart w:id="31" w:name="X5a317650670242e320f8b269c838ae48be4f85a"/>
      <w:r>
        <w:t xml:space="preserve">Mapping between EXIOBASE and EUROSTAT HBS</w:t>
      </w:r>
      <w:bookmarkEnd w:id="31"/>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Compact"/>
      </w:pPr>
      <w:r>
        <w:t xml:space="preserve">Table 4: Mapping EXIOBASE industry production sectors to COICOP consumption categories and 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2"/>
      </w:pPr>
      <w:bookmarkStart w:id="32" w:name="country-and-year-coverage"/>
      <w:r>
        <w:t xml:space="preserve">Country and year coverage</w:t>
      </w:r>
      <w:bookmarkEnd w:id="32"/>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care must be taken, especially analysing trends over time. The EUROSTAT HBS is available for the years: 1988, 1994, 1999, 2005, 2010 and 2015, although not all countries are available for all years, and the years 1988, 1994, and 1999, in particular, have many missing countries. Table S5 shows the country and year coverage between EXIOBASE and the EUROSTAT HBS for the years 2005, 2010 and 2015.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 in EXIOBASE).</w:t>
      </w:r>
    </w:p>
    <w:p>
      <w:pPr>
        <w:pStyle w:val="Compact"/>
      </w:pPr>
      <w:r>
        <w:t xml:space="preserve">Table 5: Country and year coverage between EXIOBASE and the EUROSTAT HBS.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2"/>
      </w:pPr>
      <w:bookmarkStart w:id="33" w:name="limitations"/>
      <w:r>
        <w:t xml:space="preserve">Limitations</w:t>
      </w:r>
      <w:bookmarkEnd w:id="33"/>
    </w:p>
    <w:p>
      <w:pPr>
        <w:pStyle w:val="FirstParagraph"/>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(30)</w:t>
      </w:r>
      <w:r>
        <w:t xml:space="preserve">. Some types of households may also be excluded from the samples, including super-rich households, for example Germany, which excludes households with over €18,000 monthly net income</w:t>
      </w:r>
      <w:r>
        <w:t xml:space="preserve"> </w:t>
      </w:r>
      <w:r>
        <w:t xml:space="preserve">(30)</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(30)</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We used EXIOBASE as the EE-MRIO for this study because of its European focus, with nearly all countries in the EUROSTAT HBS also found as stand-alone countries in EXIOBASE, its detailed satellite extension data, and its year coverage (specifically version3, industry-by-industry), but there are well known limitations when using and selecting an EE-MRIO</w:t>
      </w:r>
      <w:r>
        <w:t xml:space="preserve"> </w:t>
      </w:r>
      <w:r>
        <w:t xml:space="preserve">(31)</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direct and indirect supply chain</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Compact"/>
      </w:pPr>
      <w:r>
        <w:t xml:space="preserve">Table 6: Same as Table S1 but now with base price shares of purchaser price per sector, and 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Compact"/>
      </w:pPr>
      <w:r>
        <w:t xml:space="preserve">Table 7: Quintile shares per sector in base price, with new</w:t>
      </w:r>
      <w:r>
        <w:t xml:space="preserve"> </w:t>
      </w:r>
      <w:r>
        <w:t xml:space="preserve">‘</w:t>
      </w:r>
      <w:r>
        <w:t xml:space="preserve">pps hh</w:t>
      </w:r>
      <w:r>
        <w:t xml:space="preserve">’</w:t>
      </w:r>
      <w:r>
        <w:t xml:space="preserve"> </w:t>
      </w:r>
      <w:r>
        <w:t xml:space="preserve">per quintile in base price and 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954"/>
        <w:gridCol w:w="1315"/>
        <w:gridCol w:w="1374"/>
        <w:gridCol w:w="1315"/>
        <w:gridCol w:w="1374"/>
        <w:gridCol w:w="1032"/>
        <w:gridCol w:w="103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889</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824</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750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667</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Compact"/>
      </w:pPr>
      <w:r>
        <w:t xml:space="preserve">Table 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94"/>
        <w:gridCol w:w="996"/>
        <w:gridCol w:w="996"/>
        <w:gridCol w:w="996"/>
        <w:gridCol w:w="996"/>
        <w:gridCol w:w="996"/>
        <w:gridCol w:w="1055"/>
        <w:gridCol w:w="521"/>
        <w:gridCol w:w="521"/>
        <w:gridCol w:w="521"/>
        <w:gridCol w:w="521"/>
        <w:gridCol w:w="521"/>
      </w:tblGrid>
      <w:tr>
        <w:trPr>
          <w:cantSplit/>
          <w:trHeight w:val="29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fd</w:t>
            </w:r>
          </w:p>
        </w:tc>
      </w:tr>
      <w:tr>
        <w:trPr>
          <w:cantSplit/>
          <w:trHeight w:val="26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132</w:t>
            </w:r>
          </w:p>
        </w:tc>
      </w:tr>
      <w:tr>
        <w:trPr>
          <w:cantSplit/>
          <w:trHeight w:val="26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208</w:t>
            </w:r>
          </w:p>
        </w:tc>
      </w:tr>
    </w:tbl>
    <w:p>
      <w:pPr>
        <w:pStyle w:val="Heading2"/>
      </w:pPr>
      <w:bookmarkStart w:id="35" w:name="european-expenditure-deciles"/>
      <w:r>
        <w:t xml:space="preserve">European expenditure deciles</w:t>
      </w:r>
      <w:bookmarkEnd w:id="35"/>
    </w:p>
    <w:p>
      <w:pPr>
        <w:pStyle w:val="FirstParagraph"/>
      </w:pPr>
      <w:r>
        <w:t xml:space="preserve">Here we aggregated the data of 28 European countries with 5 income groups each into 10 European expenditure groups, to decompose the total European household energy and carbon footprint by European expenditure decile, ranking each national income group according to their mean consumption expenditure in PPS. We call these European expenditure deciles, although only countries with EUROSTAT HBS data from 2005 to 2015 are included, which excludes Italy and Luxembourg, but includes the UK, Norway and Turkey.</w:t>
      </w:r>
    </w:p>
    <w:p>
      <w:pPr>
        <w:pStyle w:val="Heading2"/>
      </w:pPr>
      <w:bookmarkStart w:id="36" w:name="alternative-method"/>
      <w:r>
        <w:t xml:space="preserve">Alternative method</w:t>
      </w:r>
      <w:bookmarkEnd w:id="36"/>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w:t>
      </w:r>
      <w:r>
        <w:t xml:space="preserve"> </w:t>
      </w:r>
      <w:r>
        <w:t xml:space="preserve">‘</w:t>
      </w:r>
      <w:r>
        <w:t xml:space="preserve">direct and indirect supply chain</w:t>
      </w:r>
      <w:r>
        <w:t xml:space="preserve">’</w:t>
      </w:r>
      <w:r>
        <w:t xml:space="preserve"> </w:t>
      </w:r>
      <w:r>
        <w:t xml:space="preserve">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7">
        <w:r>
          <w:rPr>
            <w:rStyle w:val="Hyperlink"/>
          </w:rPr>
          <w:t xml:space="preserve">https://stats.oecd.org/index.aspx?queryid=84864#</w:t>
        </w:r>
      </w:hyperlink>
      <w:r>
        <w:t xml:space="preserve"> </w:t>
      </w:r>
      <w:r>
        <w:t xml:space="preserve">(32)</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Compact"/>
      </w:pPr>
      <w:r>
        <w:t xml:space="preserve">Table 9: Same as Table S1 but now with base price shares of purchaser price per sector, and 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09"/>
        <w:gridCol w:w="565"/>
        <w:gridCol w:w="624"/>
        <w:gridCol w:w="624"/>
        <w:gridCol w:w="836"/>
        <w:gridCol w:w="1658"/>
        <w:gridCol w:w="1026"/>
        <w:gridCol w:w="836"/>
        <w:gridCol w:w="1658"/>
        <w:gridCol w:w="1026"/>
      </w:tblGrid>
      <w:tr>
        <w:trPr>
          <w:cantSplit/>
          <w:trHeight w:val="280"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bp_share_in_pp_sector_1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bp_share_in_pp_sector_2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(pps hh bp)</w:t>
            </w:r>
          </w:p>
        </w:tc>
      </w:tr>
      <w:tr>
        <w:trPr>
          <w:cantSplit/>
          <w:trHeight w:val="27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r>
      <w:tr>
        <w:trPr>
          <w:cantSplit/>
          <w:trHeight w:val="2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9.1</w:t>
            </w:r>
          </w:p>
        </w:tc>
      </w:tr>
      <w:tr>
        <w:trPr>
          <w:cantSplit/>
          <w:trHeight w:val="2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r>
      <w:tr>
        <w:trPr>
          <w:cantSplit/>
          <w:trHeight w:val="27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r>
      <w:tr>
        <w:trPr>
          <w:cantSplit/>
          <w:trHeight w:val="272"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16.0</w:t>
            </w:r>
          </w:p>
        </w:tc>
      </w:tr>
    </w:tbl>
    <w:p>
      <w:pPr>
        <w:pStyle w:val="Compact"/>
      </w:pPr>
      <w:r>
        <w:t xml:space="preserve">Table 10: Income quintile shares per sector in base price, with new</w:t>
      </w:r>
      <w:r>
        <w:t xml:space="preserve"> </w:t>
      </w:r>
      <w:r>
        <w:t xml:space="preserve">‘</w:t>
      </w:r>
      <w:r>
        <w:t xml:space="preserve">pps hh</w:t>
      </w:r>
      <w:r>
        <w:t xml:space="preserve">’</w:t>
      </w:r>
      <w:r>
        <w:t xml:space="preserve"> </w:t>
      </w:r>
      <w:r>
        <w:t xml:space="preserve">per income quintile in base price and new sectoral pm values in base price (</w:t>
      </w:r>
      <w:r>
        <w:t xml:space="preserve">‘</w:t>
      </w:r>
      <w:r>
        <w:t xml:space="preserve">pps hh bp</w:t>
      </w:r>
      <w:r>
        <w:t xml:space="preserve">’</w:t>
      </w:r>
      <w:r>
        <w:t xml:space="preserve"> </w:t>
      </w:r>
      <w:r>
        <w:t xml:space="preserve">is the sum of</w:t>
      </w:r>
      <w:r>
        <w:t xml:space="preserv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Compact"/>
      </w:pPr>
      <w:r>
        <w:t xml:space="preserve">Table 11: Same as Table S9 but with total EE-MRIO household final demand in purchaser price 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decomposed by income quintile.</w:t>
      </w:r>
    </w:p>
    <w:p>
      <w:pPr>
        <w:pStyle w:val="Compact"/>
      </w:pPr>
      <w:r>
        <w:t xml:space="preserve">Table 12: EE-MRIO 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52"/>
        <w:gridCol w:w="1152"/>
        <w:gridCol w:w="1152"/>
        <w:gridCol w:w="1152"/>
        <w:gridCol w:w="1152"/>
        <w:gridCol w:w="1152"/>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w:t>
      </w:r>
      <w:r>
        <w:t xml:space="preserve"> </w:t>
      </w:r>
      <w:r>
        <w:t xml:space="preserve">‘</w:t>
      </w:r>
      <w:r>
        <w:t xml:space="preserve">direct and indirect supply chain</w:t>
      </w:r>
      <w:r>
        <w:t xml:space="preserve">’</w:t>
      </w:r>
      <w:r>
        <w:t xml:space="preserve"> </w:t>
      </w:r>
      <w:r>
        <w:t xml:space="preserve">intensity vector as previously calculated inside the EE-MRIO (compare Table S13 with Table S3).</w:t>
      </w:r>
    </w:p>
    <w:p>
      <w:pPr>
        <w:pStyle w:val="Compact"/>
      </w:pPr>
      <w:r>
        <w:t xml:space="preserve">Table 13: EE-MRIO household final demand per quintile and sector multiplied by the TIV to 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1581"/>
      </w:tblGrid>
      <w:tr>
        <w:trPr>
          <w:cantSplit/>
          <w:trHeight w:val="35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total_footprint</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38" w:name="supplementary-results"/>
      <w:r>
        <w:t xml:space="preserve">Supplementary Results</w:t>
      </w:r>
      <w:bookmarkEnd w:id="38"/>
    </w:p>
    <w:p>
      <w:pPr>
        <w:pStyle w:val="Compact"/>
        <w:numPr>
          <w:numId w:val="1007"/>
          <w:ilvl w:val="0"/>
        </w:numPr>
      </w:pPr>
      <w:r>
        <w:t xml:space="preserve">brief description of each graphic. Can then say something tentative about whether or not inequality increased or decreased, the footprints increased or decreased, differences between methods and versions, and then call for more investigation of effects over time.</w:t>
      </w:r>
    </w:p>
    <w:p>
      <w:pPr>
        <w:pStyle w:val="Heading2"/>
      </w:pPr>
      <w:bookmarkStart w:id="39" w:name="X8d75558b19c1f4ada8a7ee00925afcbe8652b35"/>
      <w:r>
        <w:t xml:space="preserve">2005 using main method, EXIOBASE industry-by-industry</w:t>
      </w:r>
      <w:bookmarkEnd w:id="39"/>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w:t>
      </w:r>
      <w:r>
        <w:t xml:space="preserve">10^{4}€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0"/>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1" w:name="X6d0fbaa5f45806da251547b50375281c1325abb"/>
      <w:r>
        <w:t xml:space="preserve">2010 using main method, EXIOBASE industry-by-industry</w:t>
      </w:r>
      <w:bookmarkEnd w:id="41"/>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w:t>
      </w:r>
      <w:r>
        <w:t xml:space="preserve">10^{4}€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3" w:name="Xa524caf697d4adaad7fcac9faec7b6d79794f21"/>
      <w:r>
        <w:t xml:space="preserve">2010 using main method, EXIOBASE product-by-product</w:t>
      </w:r>
      <w:bookmarkEnd w:id="43"/>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w:t>
      </w:r>
      <w:r>
        <w:t xml:space="preserve">10^{4}€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5" w:name="Xb0ae8b1959b15b13866be8149136e915543cac5"/>
      <w:r>
        <w:t xml:space="preserve">2015 using alternative method, EXIOBASE industry-by-industry</w:t>
      </w:r>
      <w:bookmarkEnd w:id="45"/>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pPr>
        <w:pStyle w:val="Heading1"/>
      </w:pPr>
      <w:bookmarkStart w:id="47" w:name="unit-of-analysis"/>
      <w:r>
        <w:t xml:space="preserve">Unit of analysis</w:t>
      </w:r>
      <w:bookmarkEnd w:id="47"/>
    </w:p>
    <w:p>
      <w:pPr>
        <w:pStyle w:val="FirstParagraph"/>
      </w:pPr>
      <w:r>
        <w:drawing>
          <wp:inline>
            <wp:extent cx="4587290" cy="3669832"/>
            <wp:effectExtent b="0" l="0" r="0" t="0"/>
            <wp:docPr descr="" title="" id="1" name="Picture"/>
            <a:graphic>
              <a:graphicData uri="http://schemas.openxmlformats.org/drawingml/2006/picture">
                <pic:pic>
                  <pic:nvPicPr>
                    <pic:cNvPr descr="../figures/figureSx-1.png" id="0" name="Picture"/>
                    <pic:cNvPicPr>
                      <a:picLocks noChangeArrowheads="1" noChangeAspect="1"/>
                    </pic:cNvPicPr>
                  </pic:nvPicPr>
                  <pic:blipFill>
                    <a:blip r:embed="rId48"/>
                    <a:stretch>
                      <a:fillRect/>
                    </a:stretch>
                  </pic:blipFill>
                  <pic:spPr bwMode="auto">
                    <a:xfrm>
                      <a:off x="0" y="0"/>
                      <a:ext cx="4587290" cy="3669832"/>
                    </a:xfrm>
                    <a:prstGeom prst="rect">
                      <a:avLst/>
                    </a:prstGeom>
                    <a:noFill/>
                    <a:ln w="9525">
                      <a:noFill/>
                      <a:headEnd/>
                      <a:tailEnd/>
                    </a:ln>
                  </pic:spPr>
                </pic:pic>
              </a:graphicData>
            </a:graphic>
          </wp:inline>
        </w:drawing>
      </w:r>
    </w:p>
    <w:p>
      <w:pPr>
        <w:pStyle w:val="Heading2"/>
      </w:pPr>
      <w:bookmarkStart w:id="49" w:name="figure-5-from-manuscript-population"/>
      <w:r>
        <w:t xml:space="preserve">Figure 5 from manuscript (population)</w:t>
      </w:r>
      <w:bookmarkEnd w:id="49"/>
    </w:p>
    <w:p>
      <w:pPr>
        <w:pStyle w:val="FirstParagraph"/>
      </w:pPr>
      <w:r>
        <w:drawing>
          <wp:inline>
            <wp:extent cx="5943600" cy="4669971"/>
            <wp:effectExtent b="0" l="0" r="0" t="0"/>
            <wp:docPr descr="" title="" id="1" name="Picture"/>
            <a:graphic>
              <a:graphicData uri="http://schemas.openxmlformats.org/drawingml/2006/picture">
                <pic:pic>
                  <pic:nvPicPr>
                    <pic:cNvPr descr="../figures/unnamed-chunk-4-1.png" id="0" name="Picture"/>
                    <pic:cNvPicPr>
                      <a:picLocks noChangeArrowheads="1" noChangeAspect="1"/>
                    </pic:cNvPicPr>
                  </pic:nvPicPr>
                  <pic:blipFill>
                    <a:blip r:embed="rId50"/>
                    <a:stretch>
                      <a:fillRect/>
                    </a:stretch>
                  </pic:blipFill>
                  <pic:spPr bwMode="auto">
                    <a:xfrm>
                      <a:off x="0" y="0"/>
                      <a:ext cx="5943600" cy="4669971"/>
                    </a:xfrm>
                    <a:prstGeom prst="rect">
                      <a:avLst/>
                    </a:prstGeom>
                    <a:noFill/>
                    <a:ln w="9525">
                      <a:noFill/>
                      <a:headEnd/>
                      <a:tailEnd/>
                    </a:ln>
                  </pic:spPr>
                </pic:pic>
              </a:graphicData>
            </a:graphic>
          </wp:inline>
        </w:drawing>
      </w:r>
    </w:p>
    <w:p>
      <w:r>
        <w:br w:type="page"/>
      </w:r>
    </w:p>
    <w:p>
      <w:pPr>
        <w:pStyle w:val="Heading1"/>
      </w:pPr>
      <w:bookmarkStart w:id="51" w:name="references"/>
      <w:r>
        <w:t xml:space="preserve">References</w:t>
      </w:r>
      <w:bookmarkEnd w:id="51"/>
    </w:p>
    <w:bookmarkStart w:id="108" w:name="refs"/>
    <w:bookmarkStart w:id="53" w:name="ref-stadler_exiobase_2018"/>
    <w:p>
      <w:pPr>
        <w:pStyle w:val="Bibliography"/>
      </w:pPr>
      <w:r>
        <w:t xml:space="preserve">1.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52">
        <w:r>
          <w:rPr>
            <w:rStyle w:val="Hyperlink"/>
          </w:rPr>
          <w:t xml:space="preserve">https://onlinelibrary.wiley.com/doi/abs/10.1111/jiec.12715</w:t>
        </w:r>
      </w:hyperlink>
    </w:p>
    <w:bookmarkEnd w:id="53"/>
    <w:bookmarkStart w:id="54" w:name="ref-stadler_exiobase_2019"/>
    <w:p>
      <w:pPr>
        <w:pStyle w:val="Bibliography"/>
      </w:pPr>
      <w:r>
        <w:t xml:space="preserve">2. Stadler K, Wood R, Bulavskaya T, Södersten C-J, Simas M, Schmidt S, et al. EXIOBASE 3 [Internet]. Zenodo; 2019 [cited 2021 Jan 20]. Available from:</w:t>
      </w:r>
      <w:r>
        <w:t xml:space="preserve"> </w:t>
      </w:r>
      <w:hyperlink r:id="rId21">
        <w:r>
          <w:rPr>
            <w:rStyle w:val="Hyperlink"/>
          </w:rPr>
          <w:t xml:space="preserve">https://zenodo.org/record/3583071#.XjC7kSN4wpY</w:t>
        </w:r>
      </w:hyperlink>
    </w:p>
    <w:bookmarkEnd w:id="54"/>
    <w:bookmarkStart w:id="55" w:name="ref-eurostat_database_nodate"/>
    <w:p>
      <w:pPr>
        <w:pStyle w:val="Bibliography"/>
      </w:pPr>
      <w:r>
        <w:t xml:space="preserve">3. Eurostat. Database - Household budget surveys - Eurostat [Internet]. [cited 2021 Jan 20]. Available from:</w:t>
      </w:r>
      <w:r>
        <w:t xml:space="preserve"> </w:t>
      </w:r>
      <w:hyperlink r:id="rId22">
        <w:r>
          <w:rPr>
            <w:rStyle w:val="Hyperlink"/>
          </w:rPr>
          <w:t xml:space="preserve">https://ec.europa.eu/eurostat/web/household-budget-surveys/database</w:t>
        </w:r>
      </w:hyperlink>
    </w:p>
    <w:bookmarkEnd w:id="55"/>
    <w:bookmarkStart w:id="57" w:name="ref-r_core_team_r:_2020"/>
    <w:p>
      <w:pPr>
        <w:pStyle w:val="Bibliography"/>
      </w:pPr>
      <w:r>
        <w:t xml:space="preserve">4. R Core Team. R: A Language and Environment for Statistical Computing [Internet]. Vienna, Austria: R Foundation for Statistical Computing; 2020. Available from:</w:t>
      </w:r>
      <w:r>
        <w:t xml:space="preserve"> </w:t>
      </w:r>
      <w:hyperlink r:id="rId56">
        <w:r>
          <w:rPr>
            <w:rStyle w:val="Hyperlink"/>
          </w:rPr>
          <w:t xml:space="preserve">https://www.R-project.org/</w:t>
        </w:r>
      </w:hyperlink>
    </w:p>
    <w:bookmarkEnd w:id="57"/>
    <w:bookmarkStart w:id="59" w:name="ref-wickham_welcome_2019"/>
    <w:p>
      <w:pPr>
        <w:pStyle w:val="Bibliography"/>
      </w:pPr>
      <w:r>
        <w:t xml:space="preserve">5. Wickham H, Averick M, Bryan J, Chang W, McGowan LD, François R, et al. Welcome to the Tidyverse. Journal of Open Source Software [Internet]. 2019 Nov [cited 2021 Feb 1];4(43):1686. Available from:</w:t>
      </w:r>
      <w:r>
        <w:t xml:space="preserve"> </w:t>
      </w:r>
      <w:hyperlink r:id="rId58">
        <w:r>
          <w:rPr>
            <w:rStyle w:val="Hyperlink"/>
          </w:rPr>
          <w:t xml:space="preserve">https://joss.theoj.org/papers/10.21105/joss.01686</w:t>
        </w:r>
      </w:hyperlink>
    </w:p>
    <w:bookmarkEnd w:id="59"/>
    <w:bookmarkStart w:id="61" w:name="ref-firke_janitor:_2021"/>
    <w:p>
      <w:pPr>
        <w:pStyle w:val="Bibliography"/>
      </w:pPr>
      <w:r>
        <w:t xml:space="preserve">6. Firke S, Denney B, Haid C, Knight R, Grosser M, Zadra J. Janitor: Simple Tools for Examining and Cleaning Dirty Data [Internet]. 2021 [cited 2021 Feb 1]. Available from:</w:t>
      </w:r>
      <w:r>
        <w:t xml:space="preserve"> </w:t>
      </w:r>
      <w:hyperlink r:id="rId60">
        <w:r>
          <w:rPr>
            <w:rStyle w:val="Hyperlink"/>
          </w:rPr>
          <w:t xml:space="preserve">https://CRAN.R-project.org/package=janitor</w:t>
        </w:r>
      </w:hyperlink>
    </w:p>
    <w:bookmarkEnd w:id="61"/>
    <w:bookmarkStart w:id="63" w:name="ref-muller_here:_2020"/>
    <w:p>
      <w:pPr>
        <w:pStyle w:val="Bibliography"/>
      </w:pPr>
      <w:r>
        <w:t xml:space="preserve">7. Müller K, Bryan J. Here: A Simpler Way to Find Your Files [Internet]. 2020 [cited 2021 Feb 1]. Available from:</w:t>
      </w:r>
      <w:r>
        <w:t xml:space="preserve"> </w:t>
      </w:r>
      <w:hyperlink r:id="rId62">
        <w:r>
          <w:rPr>
            <w:rStyle w:val="Hyperlink"/>
          </w:rPr>
          <w:t xml:space="preserve">https://CRAN.R-project.org/package=here</w:t>
        </w:r>
      </w:hyperlink>
    </w:p>
    <w:bookmarkEnd w:id="63"/>
    <w:bookmarkStart w:id="65" w:name="ref-piburn_wbstats:_2020"/>
    <w:p>
      <w:pPr>
        <w:pStyle w:val="Bibliography"/>
      </w:pPr>
      <w:r>
        <w:t xml:space="preserve">8. Piburn J, UT-Battelle, LLC. Wbstats: Programmatic Access to Data and Statistics from the World Bank API [Internet]. 2020 [cited 2021 Feb 1]. Available from:</w:t>
      </w:r>
      <w:r>
        <w:t xml:space="preserve"> </w:t>
      </w:r>
      <w:hyperlink r:id="rId64">
        <w:r>
          <w:rPr>
            <w:rStyle w:val="Hyperlink"/>
          </w:rPr>
          <w:t xml:space="preserve">https://CRAN.R-project.org/package=wbstats</w:t>
        </w:r>
      </w:hyperlink>
    </w:p>
    <w:bookmarkEnd w:id="65"/>
    <w:bookmarkStart w:id="67" w:name="ref-buchta_isocodes:_2020"/>
    <w:p>
      <w:pPr>
        <w:pStyle w:val="Bibliography"/>
      </w:pPr>
      <w:r>
        <w:t xml:space="preserve">9. Buchta C, Hornik [aut K, cre. ISOcodes: Selected ISO Codes [Internet]. 2020 [cited 2021 Feb 1]. Available from:</w:t>
      </w:r>
      <w:r>
        <w:t xml:space="preserve"> </w:t>
      </w:r>
      <w:hyperlink r:id="rId66">
        <w:r>
          <w:rPr>
            <w:rStyle w:val="Hyperlink"/>
          </w:rPr>
          <w:t xml:space="preserve">https://CRAN.R-project.org/package=ISOcodes</w:t>
        </w:r>
      </w:hyperlink>
    </w:p>
    <w:bookmarkEnd w:id="67"/>
    <w:bookmarkStart w:id="69" w:name="ref-garnier_viridis:_2018"/>
    <w:p>
      <w:pPr>
        <w:pStyle w:val="Bibliography"/>
      </w:pPr>
      <w:r>
        <w:t xml:space="preserve">10. Garnier S, Ross N, Rudis B, Sciaini M, Scherer C. Viridis: Default Color Maps from ’matplotlib’ [Internet]. 2018 [cited 2021 Feb 1]. Available from:</w:t>
      </w:r>
      <w:r>
        <w:t xml:space="preserve"> </w:t>
      </w:r>
      <w:hyperlink r:id="rId68">
        <w:r>
          <w:rPr>
            <w:rStyle w:val="Hyperlink"/>
          </w:rPr>
          <w:t xml:space="preserve">https://CRAN.R-project.org/package=viridis</w:t>
        </w:r>
      </w:hyperlink>
    </w:p>
    <w:bookmarkEnd w:id="69"/>
    <w:bookmarkStart w:id="71" w:name="ref-rudis_hrbrthemes:_2020"/>
    <w:p>
      <w:pPr>
        <w:pStyle w:val="Bibliography"/>
      </w:pPr>
      <w:r>
        <w:t xml:space="preserve">11. Rudis B, Kennedy P, Reiner P, support) DW( axis, Adam X, Fonts) G(C&amp;TW, et al. Hrbrthemes: Additional Themes, Theme Components and Utilities for ’ggplot2’ [Internet]. 2020 [cited 2021 Feb 1]. Available from:</w:t>
      </w:r>
      <w:r>
        <w:t xml:space="preserve"> </w:t>
      </w:r>
      <w:hyperlink r:id="rId70">
        <w:r>
          <w:rPr>
            <w:rStyle w:val="Hyperlink"/>
          </w:rPr>
          <w:t xml:space="preserve">https://CRAN.R-project.org/package=hrbrthemes</w:t>
        </w:r>
      </w:hyperlink>
    </w:p>
    <w:bookmarkEnd w:id="71"/>
    <w:bookmarkStart w:id="73" w:name="ref-ram_wesanderson:_2018"/>
    <w:p>
      <w:pPr>
        <w:pStyle w:val="Bibliography"/>
      </w:pPr>
      <w:r>
        <w:t xml:space="preserve">12. Ram K, Wickham H, Richards C, Baggett A. Wesanderson: A Wes Anderson Palette Generator [Internet]. 2018 [cited 2021 Feb 1]. Available from:</w:t>
      </w:r>
      <w:r>
        <w:t xml:space="preserve"> </w:t>
      </w:r>
      <w:hyperlink r:id="rId72">
        <w:r>
          <w:rPr>
            <w:rStyle w:val="Hyperlink"/>
          </w:rPr>
          <w:t xml:space="preserve">https://CRAN.R-project.org/package=wesanderson</w:t>
        </w:r>
      </w:hyperlink>
    </w:p>
    <w:bookmarkEnd w:id="73"/>
    <w:bookmarkStart w:id="75" w:name="ref-hester_glue:_2020"/>
    <w:p>
      <w:pPr>
        <w:pStyle w:val="Bibliography"/>
      </w:pPr>
      <w:r>
        <w:t xml:space="preserve">13. Hester J. Glue: Interpreted String Literals [Internet]. 2020 [cited 2021 Feb 1]. Available from:</w:t>
      </w:r>
      <w:r>
        <w:t xml:space="preserve"> </w:t>
      </w:r>
      <w:hyperlink r:id="rId74">
        <w:r>
          <w:rPr>
            <w:rStyle w:val="Hyperlink"/>
          </w:rPr>
          <w:t xml:space="preserve">https://CRAN.R-project.org/package=glue</w:t>
        </w:r>
      </w:hyperlink>
    </w:p>
    <w:bookmarkEnd w:id="75"/>
    <w:bookmarkStart w:id="77" w:name="ref-wilke_ggridges:_2021"/>
    <w:p>
      <w:pPr>
        <w:pStyle w:val="Bibliography"/>
      </w:pPr>
      <w:r>
        <w:t xml:space="preserve">14. Wilke CO. Ggridges: Ridgeline Plots in ’ggplot2’ [Internet]. 2021 [cited 2021 Feb 1]. Available from:</w:t>
      </w:r>
      <w:r>
        <w:t xml:space="preserve"> </w:t>
      </w:r>
      <w:hyperlink r:id="rId76">
        <w:r>
          <w:rPr>
            <w:rStyle w:val="Hyperlink"/>
          </w:rPr>
          <w:t xml:space="preserve">https://CRAN.R-project.org/package=ggridges</w:t>
        </w:r>
      </w:hyperlink>
    </w:p>
    <w:bookmarkEnd w:id="77"/>
    <w:bookmarkStart w:id="79" w:name="ref-pedersen_patchwork:_2020"/>
    <w:p>
      <w:pPr>
        <w:pStyle w:val="Bibliography"/>
      </w:pPr>
      <w:r>
        <w:t xml:space="preserve">15. Pedersen TL. Patchwork: The Composer of Plots [Internet]. 2020 [cited 2021 Feb 1]. Available from:</w:t>
      </w:r>
      <w:r>
        <w:t xml:space="preserve"> </w:t>
      </w:r>
      <w:hyperlink r:id="rId78">
        <w:r>
          <w:rPr>
            <w:rStyle w:val="Hyperlink"/>
          </w:rPr>
          <w:t xml:space="preserve">https://CRAN.R-project.org/package=patchwork</w:t>
        </w:r>
      </w:hyperlink>
    </w:p>
    <w:bookmarkEnd w:id="79"/>
    <w:bookmarkStart w:id="81" w:name="ref-zhu_kableextra:_2020"/>
    <w:p>
      <w:pPr>
        <w:pStyle w:val="Bibliography"/>
      </w:pPr>
      <w:r>
        <w:t xml:space="preserve">16. Zhu H, Travison T, Tsai T, Beasley W, Xie Y, Yu G, et al. kableExtra: Construct Complex Table with ’kable’ and Pipe Syntax [Internet]. 2020 [cited 2021 Feb 1]. Available from:</w:t>
      </w:r>
      <w:r>
        <w:t xml:space="preserve"> </w:t>
      </w:r>
      <w:hyperlink r:id="rId80">
        <w:r>
          <w:rPr>
            <w:rStyle w:val="Hyperlink"/>
          </w:rPr>
          <w:t xml:space="preserve">https://CRAN.R-project.org/package=kableExtra</w:t>
        </w:r>
      </w:hyperlink>
    </w:p>
    <w:bookmarkEnd w:id="81"/>
    <w:bookmarkStart w:id="83" w:name="ref-wickham_readxl:_2019"/>
    <w:p>
      <w:pPr>
        <w:pStyle w:val="Bibliography"/>
      </w:pPr>
      <w:r>
        <w:t xml:space="preserve">17. Wickham H, Bryan J, attribution) R( holder of all R code and all C code without explicit copyright, code) MK( of included R, code) KV( of included libxls, code) CL( of included libxls, et al. Readxl: Read Excel Files [Internet]. 2019 [cited 2021 Feb 1]. Available from:</w:t>
      </w:r>
      <w:r>
        <w:t xml:space="preserve"> </w:t>
      </w:r>
      <w:hyperlink r:id="rId82">
        <w:r>
          <w:rPr>
            <w:rStyle w:val="Hyperlink"/>
          </w:rPr>
          <w:t xml:space="preserve">https://CRAN.R-project.org/package=readxl</w:t>
        </w:r>
      </w:hyperlink>
    </w:p>
    <w:bookmarkEnd w:id="83"/>
    <w:bookmarkStart w:id="85" w:name="ref-gohel_flextable:_2021"/>
    <w:p>
      <w:pPr>
        <w:pStyle w:val="Bibliography"/>
      </w:pPr>
      <w:r>
        <w:t xml:space="preserve">18. Gohel D, Fazilleau Q, output) MN( for docx, Robert T, footnotes) MB(, reference) AY( for bookdown cross, et al. Flextable: Functions for Tabular Reporting [Internet]. 2021 [cited 2021 Feb 1]. Available from:</w:t>
      </w:r>
      <w:r>
        <w:t xml:space="preserve"> </w:t>
      </w:r>
      <w:hyperlink r:id="rId84">
        <w:r>
          <w:rPr>
            <w:rStyle w:val="Hyperlink"/>
          </w:rPr>
          <w:t xml:space="preserve">https://CRAN.R-project.org/package=flextable</w:t>
        </w:r>
      </w:hyperlink>
    </w:p>
    <w:bookmarkEnd w:id="85"/>
    <w:bookmarkStart w:id="87" w:name="ref-south_rworldmap:_2016"/>
    <w:p>
      <w:pPr>
        <w:pStyle w:val="Bibliography"/>
      </w:pPr>
      <w:r>
        <w:t xml:space="preserve">19. South A. Rworldmap: Mapping Global Data [Internet]. 2016 [cited 2021 Feb 1]. Available from:</w:t>
      </w:r>
      <w:r>
        <w:t xml:space="preserve"> </w:t>
      </w:r>
      <w:hyperlink r:id="rId86">
        <w:r>
          <w:rPr>
            <w:rStyle w:val="Hyperlink"/>
          </w:rPr>
          <w:t xml:space="preserve">https://CRAN.R-project.org/package=rworldmap</w:t>
        </w:r>
      </w:hyperlink>
    </w:p>
    <w:bookmarkEnd w:id="87"/>
    <w:bookmarkStart w:id="89" w:name="ref-arnold_ggthemes:_2021"/>
    <w:p>
      <w:pPr>
        <w:pStyle w:val="Bibliography"/>
      </w:pPr>
      <w:r>
        <w:t xml:space="preserve">20. Arnold JB, Daroczi G, Werth B, Weitzner B, Kunst J, Auguie B, et al. Ggthemes: Extra Themes, Scales and Geoms for ’ggplot2’ [Internet]. 2021 [cited 2021 Feb 1]. Available from:</w:t>
      </w:r>
      <w:r>
        <w:t xml:space="preserve"> </w:t>
      </w:r>
      <w:hyperlink r:id="rId88">
        <w:r>
          <w:rPr>
            <w:rStyle w:val="Hyperlink"/>
          </w:rPr>
          <w:t xml:space="preserve">https://CRAN.R-project.org/package=ggthemes</w:t>
        </w:r>
      </w:hyperlink>
    </w:p>
    <w:bookmarkEnd w:id="89"/>
    <w:bookmarkStart w:id="90" w:name="ref-miller_input-output_1985"/>
    <w:p>
      <w:pPr>
        <w:pStyle w:val="Bibliography"/>
      </w:pPr>
      <w:r>
        <w:t xml:space="preserve">21. Miller RE, Blair PD. Input-output analysis: Foundations and extensions. Englewood Cliffs, N.J: Prentice-Hall; 1985.</w:t>
      </w:r>
      <w:r>
        <w:t xml:space="preserve"> </w:t>
      </w:r>
    </w:p>
    <w:bookmarkEnd w:id="90"/>
    <w:bookmarkStart w:id="91" w:name="ref-myhre_g._anthropogenic_2013"/>
    <w:p>
      <w:pPr>
        <w:pStyle w:val="Bibliography"/>
      </w:pPr>
      <w:r>
        <w:t xml:space="preserve">22.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91"/>
    <w:bookmarkStart w:id="92" w:name="ref-eurostat_manual_2015"/>
    <w:p>
      <w:pPr>
        <w:pStyle w:val="Bibliography"/>
      </w:pPr>
      <w:r>
        <w:t xml:space="preserve">23. Eurostat. Manual for air emission accounts. 2015.</w:t>
      </w:r>
      <w:r>
        <w:t xml:space="preserve"> </w:t>
      </w:r>
    </w:p>
    <w:bookmarkEnd w:id="92"/>
    <w:bookmarkStart w:id="93" w:name="ref-eurostat_eurostat_2020"/>
    <w:p>
      <w:pPr>
        <w:pStyle w:val="Bibliography"/>
      </w:pPr>
      <w:r>
        <w:t xml:space="preserve">24. Eurostat. Eurostat - Data Explorer - Energy supply and use by NACE Rev. 2 activity [Internet]. 2020 [cited 2020 Aug 11]. Available from:</w:t>
      </w:r>
      <w:r>
        <w:t xml:space="preserve"> </w:t>
      </w:r>
      <w:hyperlink r:id="rId26">
        <w:r>
          <w:rPr>
            <w:rStyle w:val="Hyperlink"/>
          </w:rPr>
          <w:t xml:space="preserve">http://appsso.eurostat.ec.europa.eu/nui/show.do?dataset=env_ac_pefasu</w:t>
        </w:r>
      </w:hyperlink>
    </w:p>
    <w:bookmarkEnd w:id="93"/>
    <w:bookmarkStart w:id="94" w:name="ref-eurostat_eurostat_nodate"/>
    <w:p>
      <w:pPr>
        <w:pStyle w:val="Bibliography"/>
      </w:pPr>
      <w:r>
        <w:t xml:space="preserve">25. Eurostat. Eurostat - Data Explorer - Air emissions accounts by NACE Rev. 2 activity [Internet]. [cited 2021 Jan 20]. Available from:</w:t>
      </w:r>
      <w:r>
        <w:t xml:space="preserve"> </w:t>
      </w:r>
      <w:hyperlink r:id="rId27">
        <w:r>
          <w:rPr>
            <w:rStyle w:val="Hyperlink"/>
          </w:rPr>
          <w:t xml:space="preserve">https://appsso.eurostat.ec.europa.eu/nui/show.do?dataset=env_ac_ainah_r2&amp;lang=en</w:t>
        </w:r>
      </w:hyperlink>
    </w:p>
    <w:bookmarkEnd w:id="94"/>
    <w:bookmarkStart w:id="96" w:name="ref-eurostat_description_2016"/>
    <w:p>
      <w:pPr>
        <w:pStyle w:val="Bibliography"/>
      </w:pPr>
      <w:r>
        <w:t xml:space="preserve">26. Eurostat. Description of the data transmission for the Household Budget Survey (HBS) for the Reference Year 2015 Version: 3 [Internet]. 2016. Available from:</w:t>
      </w:r>
      <w:r>
        <w:t xml:space="preserve"> </w:t>
      </w:r>
      <w:hyperlink r:id="rId95">
        <w:r>
          <w:rPr>
            <w:rStyle w:val="Hyperlink"/>
          </w:rPr>
          <w:t xml:space="preserve">https://ec.europa.eu/eurostat/documents/54431/1966394/HBS2015_Transmission_DOC_V3.2018_05_22.pdf</w:t>
        </w:r>
      </w:hyperlink>
    </w:p>
    <w:bookmarkEnd w:id="96"/>
    <w:bookmarkStart w:id="98" w:name="ref-eurostat_eurostat_nodate-1"/>
    <w:p>
      <w:pPr>
        <w:pStyle w:val="Bibliography"/>
      </w:pPr>
      <w:r>
        <w:t xml:space="preserve">27. Eurostat. Eurostat - Data Explorer - Number of private households by household composition, number of children and age of youngest child (1 000) [Internet]. [cited 2021 Jan 20]. Available from:</w:t>
      </w:r>
      <w:r>
        <w:t xml:space="preserve"> </w:t>
      </w:r>
      <w:hyperlink r:id="rId97">
        <w:r>
          <w:rPr>
            <w:rStyle w:val="Hyperlink"/>
          </w:rPr>
          <w:t xml:space="preserve">https://appsso.eurostat.ec.europa.eu/nui/show.do?dataset=lfst_hhnhtych&amp;lang=en</w:t>
        </w:r>
      </w:hyperlink>
    </w:p>
    <w:bookmarkEnd w:id="98"/>
    <w:bookmarkStart w:id="100" w:name="ref-statistics_norway_10986:_nodate"/>
    <w:p>
      <w:pPr>
        <w:pStyle w:val="Bibliography"/>
      </w:pPr>
      <w:r>
        <w:t xml:space="preserve">28. Statistics Norway. 10986: Private households and persons in private households, by type of household (C) 2005 - 2020 [Internet]. PX-Web SSB. [cited 2021 Jan 20]. Available from:</w:t>
      </w:r>
      <w:r>
        <w:t xml:space="preserve"> </w:t>
      </w:r>
      <w:hyperlink r:id="rId99">
        <w:r>
          <w:rPr>
            <w:rStyle w:val="Hyperlink"/>
          </w:rPr>
          <w:t xml:space="preserve">http://www.ssb.no/en/statbanken/statbank/table/10986/</w:t>
        </w:r>
      </w:hyperlink>
    </w:p>
    <w:bookmarkEnd w:id="100"/>
    <w:bookmarkStart w:id="102" w:name="ref-oswald_large_2020"/>
    <w:p>
      <w:pPr>
        <w:pStyle w:val="Bibliography"/>
      </w:pPr>
      <w:r>
        <w:t xml:space="preserve">29. Oswald Y, Owen A, Steinberger JK. Large inequality in international and intranational energy footprints between income groups and across consumption categories. Nature Energy [Internet]. 2020 Mar [cited 2020 Apr 1];5(3):231–9. Available from:</w:t>
      </w:r>
      <w:r>
        <w:t xml:space="preserve"> </w:t>
      </w:r>
      <w:hyperlink r:id="rId101">
        <w:r>
          <w:rPr>
            <w:rStyle w:val="Hyperlink"/>
          </w:rPr>
          <w:t xml:space="preserve">https://www.nature.com/articles/s41560-020-0579-8</w:t>
        </w:r>
      </w:hyperlink>
    </w:p>
    <w:bookmarkEnd w:id="102"/>
    <w:bookmarkStart w:id="104" w:name="ref-eurostat_eu_2020"/>
    <w:p>
      <w:pPr>
        <w:pStyle w:val="Bibliography"/>
      </w:pPr>
      <w:r>
        <w:t xml:space="preserve">30. Eurostat. EU Quality Report of the Household Budget Survey 2015 Wave [Internet]. 2020. Available from:</w:t>
      </w:r>
      <w:r>
        <w:t xml:space="preserve"> </w:t>
      </w:r>
      <w:hyperlink r:id="rId103">
        <w:r>
          <w:rPr>
            <w:rStyle w:val="Hyperlink"/>
          </w:rPr>
          <w:t xml:space="preserve">https://ec.europa.eu/eurostat/documents/54431/1966394/HBS_EU_QualityReport_2015.pdf/72d7e310-c415-7806-93cc-e3bc7a49b596</w:t>
        </w:r>
      </w:hyperlink>
    </w:p>
    <w:bookmarkEnd w:id="104"/>
    <w:bookmarkStart w:id="106" w:name="ref-moran_convergence_2014"/>
    <w:p>
      <w:pPr>
        <w:pStyle w:val="Bibliography"/>
      </w:pPr>
      <w:r>
        <w:t xml:space="preserve">31. Moran D, Wood R. Convergence Between the Eora, Wiod, Exiobase, and Openeu’s Consumption-Based Carbon Accounts. Economic Systems Research [Internet]. 2014 Jul [cited 2018 Aug 15];26(3):245–61. Available from:</w:t>
      </w:r>
      <w:r>
        <w:t xml:space="preserve"> </w:t>
      </w:r>
      <w:hyperlink r:id="rId105">
        <w:r>
          <w:rPr>
            <w:rStyle w:val="Hyperlink"/>
          </w:rPr>
          <w:t xml:space="preserve">https://doi.org/10.1080/09535314.2014.935298</w:t>
        </w:r>
      </w:hyperlink>
    </w:p>
    <w:bookmarkEnd w:id="106"/>
    <w:bookmarkStart w:id="107" w:name="ref-oecd_sut_nodate"/>
    <w:p>
      <w:pPr>
        <w:pStyle w:val="Bibliography"/>
      </w:pPr>
      <w:r>
        <w:t xml:space="preserve">32. OECD. SUT Indicators : Trade and transport margins in percentage of total supply at purchasers’ prices [Internet]. [cited 2021 Jan 20]. Available from:</w:t>
      </w:r>
      <w:r>
        <w:t xml:space="preserve"> </w:t>
      </w:r>
      <w:hyperlink r:id="rId37">
        <w:r>
          <w:rPr>
            <w:rStyle w:val="Hyperlink"/>
          </w:rPr>
          <w:t xml:space="preserve">https://stats.oecd.org/index.aspx?queryid=84864#</w:t>
        </w:r>
      </w:hyperlink>
    </w:p>
    <w:bookmarkEnd w:id="107"/>
    <w:bookmarkEnd w:id="108"/>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0" Target="media/rId40.png"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image" Id="rId48" Target="media/rId48.png" /><Relationship Type="http://schemas.openxmlformats.org/officeDocument/2006/relationships/image" Id="rId50" Target="media/rId50.png" /><Relationship Type="http://schemas.openxmlformats.org/officeDocument/2006/relationships/hyperlink" Id="rId26" Target="http://appsso.eurostat.ec.europa.eu/nui/show.do?dataset=env_ac_pefasu" TargetMode="External" /><Relationship Type="http://schemas.openxmlformats.org/officeDocument/2006/relationships/hyperlink" Id="rId99" Target="http://www.ssb.no/en/statbanken/statbank/table/10986/" TargetMode="External" /><Relationship Type="http://schemas.openxmlformats.org/officeDocument/2006/relationships/hyperlink" Id="rId66" Target="https://CRAN.R-project.org/package=ISOcodes" TargetMode="External" /><Relationship Type="http://schemas.openxmlformats.org/officeDocument/2006/relationships/hyperlink" Id="rId84" Target="https://CRAN.R-project.org/package=flextable" TargetMode="External" /><Relationship Type="http://schemas.openxmlformats.org/officeDocument/2006/relationships/hyperlink" Id="rId76" Target="https://CRAN.R-project.org/package=ggridges" TargetMode="External" /><Relationship Type="http://schemas.openxmlformats.org/officeDocument/2006/relationships/hyperlink" Id="rId88" Target="https://CRAN.R-project.org/package=ggthemes" TargetMode="External" /><Relationship Type="http://schemas.openxmlformats.org/officeDocument/2006/relationships/hyperlink" Id="rId74" Target="https://CRAN.R-project.org/package=glue" TargetMode="External" /><Relationship Type="http://schemas.openxmlformats.org/officeDocument/2006/relationships/hyperlink" Id="rId62" Target="https://CRAN.R-project.org/package=here" TargetMode="External" /><Relationship Type="http://schemas.openxmlformats.org/officeDocument/2006/relationships/hyperlink" Id="rId70" Target="https://CRAN.R-project.org/package=hrbrthemes" TargetMode="External" /><Relationship Type="http://schemas.openxmlformats.org/officeDocument/2006/relationships/hyperlink" Id="rId60" Target="https://CRAN.R-project.org/package=janitor" TargetMode="External" /><Relationship Type="http://schemas.openxmlformats.org/officeDocument/2006/relationships/hyperlink" Id="rId80" Target="https://CRAN.R-project.org/package=kableExtra" TargetMode="External" /><Relationship Type="http://schemas.openxmlformats.org/officeDocument/2006/relationships/hyperlink" Id="rId78" Target="https://CRAN.R-project.org/package=patchwork" TargetMode="External" /><Relationship Type="http://schemas.openxmlformats.org/officeDocument/2006/relationships/hyperlink" Id="rId82" Target="https://CRAN.R-project.org/package=readxl" TargetMode="External" /><Relationship Type="http://schemas.openxmlformats.org/officeDocument/2006/relationships/hyperlink" Id="rId86" Target="https://CRAN.R-project.org/package=rworldmap" TargetMode="External" /><Relationship Type="http://schemas.openxmlformats.org/officeDocument/2006/relationships/hyperlink" Id="rId68" Target="https://CRAN.R-project.org/package=viridis" TargetMode="External" /><Relationship Type="http://schemas.openxmlformats.org/officeDocument/2006/relationships/hyperlink" Id="rId64" Target="https://CRAN.R-project.org/package=wbstats" TargetMode="External" /><Relationship Type="http://schemas.openxmlformats.org/officeDocument/2006/relationships/hyperlink" Id="rId72" Target="https://CRAN.R-project.org/package=wesanderson"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97" Target="https://appsso.eurostat.ec.europa.eu/nui/show.do?dataset=lfst_hhnhtych&amp;lang=en" TargetMode="External" /><Relationship Type="http://schemas.openxmlformats.org/officeDocument/2006/relationships/hyperlink" Id="rId105" Target="https://doi.org/10.1080/09535314.2014.935298" TargetMode="External" /><Relationship Type="http://schemas.openxmlformats.org/officeDocument/2006/relationships/hyperlink" Id="rId95" Target="https://ec.europa.eu/eurostat/documents/54431/1966394/HBS2015_Transmission_DOC_V3.2018_05_22.pdf" TargetMode="External" /><Relationship Type="http://schemas.openxmlformats.org/officeDocument/2006/relationships/hyperlink" Id="rId103"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58" Target="https://joss.theoj.org/papers/10.21105/joss.01686" TargetMode="External" /><Relationship Type="http://schemas.openxmlformats.org/officeDocument/2006/relationships/hyperlink" Id="rId52"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56" Target="https://www.R-project.org/" TargetMode="External" /><Relationship Type="http://schemas.openxmlformats.org/officeDocument/2006/relationships/hyperlink" Id="rId101"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6" Target="http://appsso.eurostat.ec.europa.eu/nui/show.do?dataset=env_ac_pefasu" TargetMode="External" /><Relationship Type="http://schemas.openxmlformats.org/officeDocument/2006/relationships/hyperlink" Id="rId99" Target="http://www.ssb.no/en/statbanken/statbank/table/10986/" TargetMode="External" /><Relationship Type="http://schemas.openxmlformats.org/officeDocument/2006/relationships/hyperlink" Id="rId66" Target="https://CRAN.R-project.org/package=ISOcodes" TargetMode="External" /><Relationship Type="http://schemas.openxmlformats.org/officeDocument/2006/relationships/hyperlink" Id="rId84" Target="https://CRAN.R-project.org/package=flextable" TargetMode="External" /><Relationship Type="http://schemas.openxmlformats.org/officeDocument/2006/relationships/hyperlink" Id="rId76" Target="https://CRAN.R-project.org/package=ggridges" TargetMode="External" /><Relationship Type="http://schemas.openxmlformats.org/officeDocument/2006/relationships/hyperlink" Id="rId88" Target="https://CRAN.R-project.org/package=ggthemes" TargetMode="External" /><Relationship Type="http://schemas.openxmlformats.org/officeDocument/2006/relationships/hyperlink" Id="rId74" Target="https://CRAN.R-project.org/package=glue" TargetMode="External" /><Relationship Type="http://schemas.openxmlformats.org/officeDocument/2006/relationships/hyperlink" Id="rId62" Target="https://CRAN.R-project.org/package=here" TargetMode="External" /><Relationship Type="http://schemas.openxmlformats.org/officeDocument/2006/relationships/hyperlink" Id="rId70" Target="https://CRAN.R-project.org/package=hrbrthemes" TargetMode="External" /><Relationship Type="http://schemas.openxmlformats.org/officeDocument/2006/relationships/hyperlink" Id="rId60" Target="https://CRAN.R-project.org/package=janitor" TargetMode="External" /><Relationship Type="http://schemas.openxmlformats.org/officeDocument/2006/relationships/hyperlink" Id="rId80" Target="https://CRAN.R-project.org/package=kableExtra" TargetMode="External" /><Relationship Type="http://schemas.openxmlformats.org/officeDocument/2006/relationships/hyperlink" Id="rId78" Target="https://CRAN.R-project.org/package=patchwork" TargetMode="External" /><Relationship Type="http://schemas.openxmlformats.org/officeDocument/2006/relationships/hyperlink" Id="rId82" Target="https://CRAN.R-project.org/package=readxl" TargetMode="External" /><Relationship Type="http://schemas.openxmlformats.org/officeDocument/2006/relationships/hyperlink" Id="rId86" Target="https://CRAN.R-project.org/package=rworldmap" TargetMode="External" /><Relationship Type="http://schemas.openxmlformats.org/officeDocument/2006/relationships/hyperlink" Id="rId68" Target="https://CRAN.R-project.org/package=viridis" TargetMode="External" /><Relationship Type="http://schemas.openxmlformats.org/officeDocument/2006/relationships/hyperlink" Id="rId64" Target="https://CRAN.R-project.org/package=wbstats" TargetMode="External" /><Relationship Type="http://schemas.openxmlformats.org/officeDocument/2006/relationships/hyperlink" Id="rId72" Target="https://CRAN.R-project.org/package=wesanderson"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97" Target="https://appsso.eurostat.ec.europa.eu/nui/show.do?dataset=lfst_hhnhtych&amp;lang=en" TargetMode="External" /><Relationship Type="http://schemas.openxmlformats.org/officeDocument/2006/relationships/hyperlink" Id="rId105" Target="https://doi.org/10.1080/09535314.2014.935298" TargetMode="External" /><Relationship Type="http://schemas.openxmlformats.org/officeDocument/2006/relationships/hyperlink" Id="rId95" Target="https://ec.europa.eu/eurostat/documents/54431/1966394/HBS2015_Transmission_DOC_V3.2018_05_22.pdf" TargetMode="External" /><Relationship Type="http://schemas.openxmlformats.org/officeDocument/2006/relationships/hyperlink" Id="rId103"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58" Target="https://joss.theoj.org/papers/10.21105/joss.01686" TargetMode="External" /><Relationship Type="http://schemas.openxmlformats.org/officeDocument/2006/relationships/hyperlink" Id="rId52"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56" Target="https://www.R-project.org/" TargetMode="External" /><Relationship Type="http://schemas.openxmlformats.org/officeDocument/2006/relationships/hyperlink" Id="rId101"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 Supplementary Information</dc:title>
  <dc:creator>Ingram S. Jaccard1, Peter-Paul Pichler1, Johannes Többen1, and Helga Weisz1,2</dc:creator>
  <cp:keywords/>
  <dcterms:created xsi:type="dcterms:W3CDTF">2021-02-04T15:37:50Z</dcterms:created>
  <dcterms:modified xsi:type="dcterms:W3CDTF">2021-02-04T15:37:50Z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True</vt:lpwstr>
  </property>
  <property fmtid="{D5CDD505-2E9C-101B-9397-08002B2CF9AE}" pid="3" name="bibliography">
    <vt:lpwstr>references.bib</vt:lpwstr>
  </property>
  <property fmtid="{D5CDD505-2E9C-101B-9397-08002B2CF9AE}" pid="4" name="content">
    <vt:lpwstr>x pages, x figures</vt:lpwstr>
  </property>
  <property fmtid="{D5CDD505-2E9C-101B-9397-08002B2CF9AE}" pid="5" name="csl">
    <vt:lpwstr>../templates/vancouver.csl</vt:lpwstr>
  </property>
  <property fmtid="{D5CDD505-2E9C-101B-9397-08002B2CF9AE}" pid="6" name="output">
    <vt:lpwstr/>
  </property>
</Properties>
</file>