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1.png" ContentType="image/png"/>
  <Override PartName="/word/media/rId43.png" ContentType="image/png"/>
  <Override PartName="/word/media/rId45.png" ContentType="image/png"/>
  <Override PartName="/word/media/rId47.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SI</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Stadler et al. (2018)</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[acessed on 22.05.2020]</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Stadler et al. (2018)</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 (ref: AR5 2014:</w:t>
      </w:r>
      <w:r>
        <w:t xml:space="preserve"> </w:t>
      </w:r>
      <w:hyperlink r:id="rId25">
        <w:r>
          <w:rPr>
            <w:rStyle w:val="Hyperlink"/>
          </w:rPr>
          <w:t xml:space="preserve">https://www.ghgprotocol.org/sites/default/files/ghgp/Global-Warming-Potential-Values%20%28Feb%2016%202016%29_1.pdf</w:t>
        </w:r>
      </w:hyperlink>
      <w:r>
        <w:t xml:space="preserve">): 28 for CH4, 265 for N2O and 23500 for SF6 (HFCs and PFCs are in CO2-equivalence already in the EXIOBASE satellite extensions).</w:t>
      </w:r>
    </w:p>
    <w:p>
      <w:pPr>
        <w:pStyle w:val="BodyText"/>
      </w:pPr>
      <w:r>
        <w:t xml:space="preserve">Gross total energy use… (</w:t>
      </w:r>
      <w:r>
        <w:t xml:space="preserve">‘</w:t>
      </w:r>
      <w:r>
        <w:t xml:space="preserve">Energy Carrier Use: Total</w:t>
      </w:r>
      <w:r>
        <w:t xml:space="preserve">’</w:t>
      </w:r>
      <w:r>
        <w:t xml:space="preserve"> </w:t>
      </w:r>
      <w:r>
        <w:t xml:space="preserve">(TJ))</w:t>
      </w:r>
    </w:p>
    <w:p>
      <w:pPr>
        <w:pStyle w:val="BodyText"/>
      </w:pPr>
      <w:r>
        <w:t xml:space="preserve">In their Supporting Information 2, Stadler et al. (2018)</w:t>
      </w:r>
      <w:r>
        <w:t xml:space="preserve"> </w:t>
      </w:r>
      <w:r>
        <w:t xml:space="preserve">Stadler et al. (2018)</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6" w:name="Xc41d51128551b13356aa7c8db2f59c4b7980dfe"/>
      <w:r>
        <w:t xml:space="preserve">Satellite extensions direct from final demand</w:t>
      </w:r>
      <w:bookmarkEnd w:id="26"/>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Eurostat (2015)</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7">
        <w:r>
          <w:rPr>
            <w:rStyle w:val="Hyperlink"/>
          </w:rPr>
          <w:t xml:space="preserve">http://appsso.eurostat.ec.europa.eu/nui/show.do?dataset=env_ac_pefasu</w:t>
        </w:r>
      </w:hyperlink>
      <w:r>
        <w:t xml:space="preserve"> </w:t>
      </w:r>
      <w:r>
        <w:t xml:space="preserve">[accessed on 03.06.2020].</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8">
        <w:r>
          <w:rPr>
            <w:rStyle w:val="Hyperlink"/>
          </w:rPr>
          <w:t xml:space="preserve">https://appsso.eurostat.ec.europa.eu/nui/show.do?dataset=env_ac_ainah_r2&amp;lang=en</w:t>
        </w:r>
      </w:hyperlink>
      <w:r>
        <w:t xml:space="preserve"> </w:t>
      </w:r>
      <w:r>
        <w:t xml:space="preserve">[accessed on 03.06.2020].</w:t>
      </w:r>
    </w:p>
    <w:p>
      <w:pPr>
        <w:pStyle w:val="Heading2"/>
      </w:pPr>
      <w:bookmarkStart w:id="29" w:name="eurostat-hbs"/>
      <w:r>
        <w:t xml:space="preserve">EUROSTAT HBS</w:t>
      </w:r>
      <w:bookmarkEnd w:id="29"/>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Eurostat (2016)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0">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p>
    <w:p>
      <w:pPr>
        <w:pStyle w:val="Heading2"/>
      </w:pPr>
      <w:bookmarkStart w:id="31" w:name="method-for-main-paper-results"/>
      <w:r>
        <w:t xml:space="preserve">Method for main paper results</w:t>
      </w:r>
      <w:bookmarkEnd w:id="31"/>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Oswald et al. (2020)</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w:t>
      </w:r>
      <w:r>
        <w:t xml:space="preserve"> </w:t>
      </w:r>
      <w:r>
        <w:t xml:space="preserve">multiplied by EE-MRIO household final demand expenditure vector to</w:t>
      </w:r>
      <w:r>
        <w:t xml:space="preserve"> </w:t>
      </w:r>
      <w:r>
        <w:t xml:space="preserve">calculate EE-MRIO household final demand expenditure per</w:t>
      </w:r>
      <w:r>
        <w:t xml:space="preserve"> </w:t>
      </w:r>
      <w:r>
        <w:t xml:space="preserve">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934"/>
        <w:gridCol w:w="934"/>
        <w:gridCol w:w="794"/>
        <w:gridCol w:w="794"/>
        <w:gridCol w:w="794"/>
        <w:gridCol w:w="1791"/>
        <w:gridCol w:w="1465"/>
        <w:gridCol w:w="1465"/>
        <w:gridCol w:w="1465"/>
        <w:gridCol w:w="1465"/>
        <w:gridCol w:w="1465"/>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132</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w:t>
      </w:r>
      <w:r>
        <w:t xml:space="preserve"> </w:t>
      </w:r>
      <w:r>
        <w:t xml:space="preserve">footprint decomposed by income quintile, through multiplication of</w:t>
      </w:r>
      <w:r>
        <w:t xml:space="preserve"> </w:t>
      </w:r>
      <w:r>
        <w:t xml:space="preserve">EE-MRIO household final demand expenditure per income quintile and</w:t>
      </w:r>
      <w:r>
        <w:t xml:space="preserve"> </w:t>
      </w:r>
      <w:r>
        <w:t xml:space="preserve">sector by the total intensity vector (TIV) calculated in the EE-MRIO</w:t>
      </w:r>
      <w:r>
        <w:t xml:space="preserve"> </w:t>
      </w:r>
      <w:r>
        <w:t xml:space="preserve">(with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1791"/>
        <w:gridCol w:w="1465"/>
        <w:gridCol w:w="1465"/>
        <w:gridCol w:w="1465"/>
        <w:gridCol w:w="1465"/>
        <w:gridCol w:w="1465"/>
        <w:gridCol w:w="654"/>
        <w:gridCol w:w="1643"/>
        <w:gridCol w:w="1643"/>
        <w:gridCol w:w="1643"/>
        <w:gridCol w:w="1643"/>
        <w:gridCol w:w="1643"/>
        <w:gridCol w:w="1867"/>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total fp</w:t>
            </w:r>
          </w:p>
        </w:tc>
      </w:tr>
      <w:tr>
        <w:trPr>
          <w:cantSplit/>
          <w:trHeight w:val="47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320</w:t>
            </w:r>
          </w:p>
        </w:tc>
      </w:tr>
    </w:tbl>
    <w:p>
      <w:pPr>
        <w:pStyle w:val="Heading2"/>
      </w:pPr>
      <w:bookmarkStart w:id="32" w:name="X5a317650670242e320f8b269c838ae48be4f85a"/>
      <w:r>
        <w:t xml:space="preserve">Mapping between EXIOBASE and EUROSTAT HBS</w:t>
      </w:r>
      <w:bookmarkEnd w:id="32"/>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w:t>
      </w:r>
      <w:r>
        <w:t xml:space="preserve"> </w:t>
      </w:r>
      <w:r>
        <w:t xml:space="preserve">production sectors to COICOP consumption categories and</w:t>
      </w:r>
      <w:r>
        <w:t xml:space="preserve"> </w:t>
      </w:r>
      <w:r>
        <w:t xml:space="preserve">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4992"/>
        <w:gridCol w:w="1016"/>
        <w:gridCol w:w="2589"/>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3" w:name="country-and-year-coverage"/>
      <w:r>
        <w:t xml:space="preserve">Country and year coverage</w:t>
      </w:r>
      <w:bookmarkEnd w:id="33"/>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Table S5 shows the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p>
      <w:pPr>
        <w:pStyle w:val="Compact"/>
      </w:pPr>
      <w:r>
        <w:t xml:space="preserve">Table 5: Country and year</w:t>
      </w:r>
      <w:r>
        <w:t xml:space="preserve"> </w:t>
      </w:r>
      <w:r>
        <w:t xml:space="preserve">coverage between EXIOBASE and the EUROSTAT HBS. Rows with black</w:t>
      </w:r>
      <w:r>
        <w:t xml:space="preserve"> </w:t>
      </w:r>
      <w:r>
        <w:t xml:space="preserve">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w:t>
      </w:r>
      <w:r>
        <w:t xml:space="preserve"> </w:t>
      </w:r>
      <w:r>
        <w:t xml:space="preserve">Rows with red text show countries where EUROSTAT HBS data exists,</w:t>
      </w:r>
      <w:r>
        <w:t xml:space="preserve"> </w:t>
      </w:r>
      <w:r>
        <w:t xml:space="preserve">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1999</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bl>
    <w:p>
      <w:pPr>
        <w:pStyle w:val="Heading2"/>
      </w:pPr>
      <w:bookmarkStart w:id="34" w:name="limitations"/>
      <w:r>
        <w:t xml:space="preserve">Limitations</w:t>
      </w:r>
      <w:bookmarkEnd w:id="34"/>
    </w:p>
    <w:p>
      <w:pPr>
        <w:pStyle w:val="FirstParagraph"/>
      </w:pPr>
      <w:r>
        <w:t xml:space="preserve">Where do I say why we chose EXIOBASE? (also quick mention in main paper methods)</w:t>
      </w:r>
    </w:p>
    <w:p>
      <w:pPr>
        <w:pStyle w:val="BodyText"/>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Eurostat (2020)</w:t>
      </w:r>
      <w:r>
        <w:t xml:space="preserve">. Some types of households may also be excluded from the samples, including super-rich households, for example Germany, which excludes households with over €18,000 monthly net income</w:t>
      </w:r>
      <w:r>
        <w:t xml:space="preserve"> </w:t>
      </w:r>
      <w:r>
        <w:t xml:space="preserve">Eurostat (2020)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Eurostat (2020)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There are also well known limitations when using and selecting an EE-MRIO (ref).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5" w:name="purchaser-price-versus-base-price"/>
      <w:r>
        <w:t xml:space="preserve">Purchaser price versus base price</w:t>
      </w:r>
      <w:bookmarkEnd w:id="35"/>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w:t>
      </w:r>
      <w:r>
        <w:t xml:space="preserve"> </w:t>
      </w:r>
      <w:r>
        <w:t xml:space="preserve">with base price shares of purchaser price per sector, and</w:t>
      </w:r>
      <w:r>
        <w:t xml:space="preserve"> </w:t>
      </w:r>
      <w:r>
        <w:t xml:space="preserve">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087"/>
        <w:gridCol w:w="1590"/>
        <w:gridCol w:w="1590"/>
        <w:gridCol w:w="2019"/>
        <w:gridCol w:w="3050"/>
        <w:gridCol w:w="2408"/>
        <w:gridCol w:w="2019"/>
        <w:gridCol w:w="3050"/>
        <w:gridCol w:w="2408"/>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quintile in base price and</w:t>
      </w:r>
      <w:r>
        <w:t xml:space="preserve"> </w:t>
      </w:r>
      <w:r>
        <w:t xml:space="preserve">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476"/>
        <w:gridCol w:w="2408"/>
        <w:gridCol w:w="2465"/>
        <w:gridCol w:w="2408"/>
        <w:gridCol w:w="2465"/>
        <w:gridCol w:w="1979"/>
        <w:gridCol w:w="1979"/>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889</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824</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750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667</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934"/>
        <w:gridCol w:w="934"/>
        <w:gridCol w:w="794"/>
        <w:gridCol w:w="794"/>
        <w:gridCol w:w="794"/>
        <w:gridCol w:w="1791"/>
        <w:gridCol w:w="1465"/>
        <w:gridCol w:w="1465"/>
        <w:gridCol w:w="1465"/>
        <w:gridCol w:w="1465"/>
        <w:gridCol w:w="1465"/>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132</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208</w:t>
            </w:r>
          </w:p>
        </w:tc>
      </w:tr>
    </w:tbl>
    <w:p>
      <w:pPr>
        <w:pStyle w:val="Heading2"/>
      </w:pPr>
      <w:bookmarkStart w:id="36" w:name="european-expenditure-deciles"/>
      <w:r>
        <w:t xml:space="preserve">European expenditure deciles</w:t>
      </w:r>
      <w:bookmarkEnd w:id="36"/>
    </w:p>
    <w:p>
      <w:pPr>
        <w:pStyle w:val="FirstParagraph"/>
      </w:pPr>
      <w:r>
        <w:t xml:space="preserve">Those countries with data in 2005, 2010 and 2015.</w:t>
      </w:r>
    </w:p>
    <w:p>
      <w:pPr>
        <w:pStyle w:val="Heading2"/>
      </w:pPr>
      <w:bookmarkStart w:id="37" w:name="alternative-method"/>
      <w:r>
        <w:t xml:space="preserve">Alternative method</w:t>
      </w:r>
      <w:bookmarkEnd w:id="37"/>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8">
        <w:r>
          <w:rPr>
            <w:rStyle w:val="Hyperlink"/>
          </w:rPr>
          <w:t xml:space="preserve">https://stats.oecd.org/index.aspx?queryid=84864#</w:t>
        </w:r>
      </w:hyperlink>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w:t>
      </w:r>
      <w:r>
        <w:t xml:space="preserve"> </w:t>
      </w:r>
      <w:r>
        <w:t xml:space="preserve">with base price shares of purchaser price per sector, and</w:t>
      </w:r>
      <w:r>
        <w:t xml:space="preserve"> </w:t>
      </w:r>
      <w:r>
        <w:t xml:space="preserve">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087"/>
        <w:gridCol w:w="1590"/>
        <w:gridCol w:w="1590"/>
        <w:gridCol w:w="2019"/>
        <w:gridCol w:w="3050"/>
        <w:gridCol w:w="2408"/>
        <w:gridCol w:w="2019"/>
        <w:gridCol w:w="3050"/>
        <w:gridCol w:w="2408"/>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r>
    </w:tbl>
    <w:p>
      <w:pPr>
        <w:pStyle w:val="Compact"/>
      </w:pPr>
      <w:r>
        <w:t xml:space="preserve">Table 10: Income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income quintile in base price and</w:t>
      </w:r>
      <w:r>
        <w:t xml:space="preserve"> </w:t>
      </w:r>
      <w:r>
        <w:t xml:space="preserve">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476"/>
        <w:gridCol w:w="2408"/>
        <w:gridCol w:w="2408"/>
        <w:gridCol w:w="1979"/>
        <w:gridCol w:w="1979"/>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889</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824</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750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667</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w:t>
      </w:r>
      <w:r>
        <w:t xml:space="preserve"> </w:t>
      </w:r>
      <w:r>
        <w:t xml:space="preserve">with total EE-MRIO household final demand in purchaser price</w:t>
      </w:r>
      <w:r>
        <w:t xml:space="preserve"> </w:t>
      </w:r>
      <w:r>
        <w:t xml:space="preserve">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087"/>
        <w:gridCol w:w="1590"/>
        <w:gridCol w:w="1590"/>
        <w:gridCol w:w="3095"/>
        <w:gridCol w:w="1791"/>
        <w:gridCol w:w="1515"/>
        <w:gridCol w:w="1515"/>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hh fd s2</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w:t>
      </w:r>
      <w:r>
        <w:t xml:space="preserve"> </w:t>
      </w:r>
      <w:r>
        <w:t xml:space="preserve">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w:t>
      </w:r>
      <w:r>
        <w:t xml:space="preserve"> </w:t>
      </w:r>
      <w:r>
        <w:t xml:space="preserve">final demand per quintile and sector multiplied by the TIV to</w:t>
      </w:r>
      <w:r>
        <w:t xml:space="preserve"> </w:t>
      </w:r>
      <w:r>
        <w:t xml:space="preserve">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gridCol w:w="654"/>
        <w:gridCol w:w="1643"/>
        <w:gridCol w:w="1643"/>
        <w:gridCol w:w="1643"/>
        <w:gridCol w:w="1643"/>
        <w:gridCol w:w="1643"/>
        <w:gridCol w:w="1867"/>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total_footprint</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67</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305</w:t>
            </w:r>
          </w:p>
        </w:tc>
      </w:tr>
    </w:tbl>
    <w:p>
      <w:pPr>
        <w:pStyle w:val="Heading1"/>
      </w:pPr>
      <w:bookmarkStart w:id="39" w:name="supplementary-results"/>
      <w:r>
        <w:t xml:space="preserve">Supplementary Results</w:t>
      </w:r>
      <w:bookmarkEnd w:id="39"/>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40" w:name="X8d75558b19c1f4ada8a7ee00925afcbe8652b35"/>
      <w:r>
        <w:t xml:space="preserve">2005 using main method, EXIOBASE industry-by-industry</w:t>
      </w:r>
      <w:bookmarkEnd w:id="40"/>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1"/>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2" w:name="X6d0fbaa5f45806da251547b50375281c1325abb"/>
      <w:r>
        <w:t xml:space="preserve">2010 using main method, EXIOBASE industry-by-industry</w:t>
      </w:r>
      <w:bookmarkEnd w:id="42"/>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3"/>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4" w:name="Xa524caf697d4adaad7fcac9faec7b6d79794f21"/>
      <w:r>
        <w:t xml:space="preserve">2010 using main method, EXIOBASE product-by-product</w:t>
      </w:r>
      <w:bookmarkEnd w:id="44"/>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5"/>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6" w:name="Xb0ae8b1959b15b13866be8149136e915543cac5"/>
      <w:r>
        <w:t xml:space="preserve">2015 using alternative method, EXIOBASE industry-by-industry</w:t>
      </w:r>
      <w:bookmarkEnd w:id="46"/>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7"/>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8" w:name="si-references"/>
      <w:r>
        <w:t xml:space="preserve">SI References</w:t>
      </w:r>
      <w:bookmarkEnd w:id="48"/>
    </w:p>
    <w:bookmarkStart w:id="56" w:name="refs"/>
    <w:bookmarkStart w:id="49" w:name="ref-eurostat_eu_2020"/>
    <w:p>
      <w:pPr>
        <w:pStyle w:val="Bibliography"/>
      </w:pPr>
      <w:r>
        <w:t xml:space="preserve">Eurostat, 2020. EU Quality Report of the Household Budget Survey 2015 Wave.</w:t>
      </w:r>
    </w:p>
    <w:bookmarkEnd w:id="49"/>
    <w:bookmarkStart w:id="50" w:name="ref-eurostat_description_2016"/>
    <w:p>
      <w:pPr>
        <w:pStyle w:val="Bibliography"/>
      </w:pPr>
      <w:r>
        <w:t xml:space="preserve">Eurostat, 2016. Description of the data transmission for the Household Budget Survey (HBS) for the Reference Year 2015 Version: 3.</w:t>
      </w:r>
    </w:p>
    <w:bookmarkEnd w:id="50"/>
    <w:bookmarkStart w:id="51" w:name="ref-eurostat_manual_2015"/>
    <w:p>
      <w:pPr>
        <w:pStyle w:val="Bibliography"/>
      </w:pPr>
      <w:r>
        <w:t xml:space="preserve">Eurostat, 2015. Manual for air emission accounts.</w:t>
      </w:r>
    </w:p>
    <w:bookmarkEnd w:id="51"/>
    <w:bookmarkStart w:id="53"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52">
        <w:r>
          <w:rPr>
            <w:rStyle w:val="Hyperlink"/>
          </w:rPr>
          <w:t xml:space="preserve">https://doi.org/10.1038/s41560-020-0579-8</w:t>
        </w:r>
      </w:hyperlink>
    </w:p>
    <w:bookmarkEnd w:id="53"/>
    <w:bookmarkStart w:id="55" w:name="ref-stadler_exiobase_2018"/>
    <w:p>
      <w:pPr>
        <w:pStyle w:val="Bibliography"/>
      </w:pPr>
      <w:r>
        <w:t xml:space="preserve">Stadler, K., Wood, R., Bulavskaya, T., Södersten, C.-J., Simas, M., Schmidt, S., Usubiaga, A., Acosta‐Fernández, J., Kuenen, J., Bruckner, M., Giljum, S., Lutter, S., Merciai, S., Schmidt, J.H., Theurl, M.C., Plutzar, C., Kastner, T., Eisenmenger, N., Erb, K.-H., Koning, A. de, Tukker, A., 2018. EXIOBASE 3: Developing a Time Series of Detailed Environmentally Extended Multi-Regional Input-Output Tables. Journal of Industrial Ecology 22, 502–515.</w:t>
      </w:r>
      <w:r>
        <w:t xml:space="preserve"> </w:t>
      </w:r>
      <w:hyperlink r:id="rId54">
        <w:r>
          <w:rPr>
            <w:rStyle w:val="Hyperlink"/>
          </w:rPr>
          <w:t xml:space="preserve">https://doi.org/10.1111/jiec.12715</w:t>
        </w:r>
      </w:hyperlink>
    </w:p>
    <w:bookmarkEnd w:id="55"/>
    <w:bookmarkEnd w:id="5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1" Target="media/rId41.png" /><Relationship Type="http://schemas.openxmlformats.org/officeDocument/2006/relationships/image" Id="rId43" Target="media/rId43.png" /><Relationship Type="http://schemas.openxmlformats.org/officeDocument/2006/relationships/image" Id="rId45" Target="media/rId45.png" /><Relationship Type="http://schemas.openxmlformats.org/officeDocument/2006/relationships/image" Id="rId47" Target="media/rId47.png" /><Relationship Type="http://schemas.openxmlformats.org/officeDocument/2006/relationships/hyperlink" Id="rId27" Target="http://appsso.eurostat.ec.europa.eu/nui/show.do?dataset=env_ac_pefasu"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52" Target="https://doi.org/10.1038/s41560-020-0579-8" TargetMode="External" /><Relationship Type="http://schemas.openxmlformats.org/officeDocument/2006/relationships/hyperlink" Id="rId54" Target="https://doi.org/10.1111/jiec.12715"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38" Target="https://stats.oecd.org/index.aspx?queryid=84864#" TargetMode="External" /><Relationship Type="http://schemas.openxmlformats.org/officeDocument/2006/relationships/hyperlink" Id="rId25" Target="https://www.ghgprotocol.org/sites/default/files/ghgp/Global-Warming-Potential-Values%20%28Feb%2016%202016%29_1.pdf" TargetMode="External" /><Relationship Type="http://schemas.openxmlformats.org/officeDocument/2006/relationships/hyperlink" Id="rId30"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7" Target="http://appsso.eurostat.ec.europa.eu/nui/show.do?dataset=env_ac_pefasu"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52" Target="https://doi.org/10.1038/s41560-020-0579-8" TargetMode="External" /><Relationship Type="http://schemas.openxmlformats.org/officeDocument/2006/relationships/hyperlink" Id="rId54" Target="https://doi.org/10.1111/jiec.12715"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38" Target="https://stats.oecd.org/index.aspx?queryid=84864#" TargetMode="External" /><Relationship Type="http://schemas.openxmlformats.org/officeDocument/2006/relationships/hyperlink" Id="rId25" Target="https://www.ghgprotocol.org/sites/default/files/ghgp/Global-Warming-Potential-Values%20%28Feb%2016%202016%29_1.pdf" TargetMode="External" /><Relationship Type="http://schemas.openxmlformats.org/officeDocument/2006/relationships/hyperlink" Id="rId30"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dc:title>
  <dc:creator/>
  <cp:keywords/>
  <dcterms:created xsi:type="dcterms:W3CDTF">2021-01-19T10:55:49Z</dcterms:created>
  <dcterms:modified xsi:type="dcterms:W3CDTF">2021-01-19T10:55:49Z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sl">
    <vt:lpwstr>../templates/journal-of-archaeological-science.csl</vt:lpwstr>
  </property>
  <property fmtid="{D5CDD505-2E9C-101B-9397-08002B2CF9AE}" pid="5" name="output">
    <vt:lpwstr/>
  </property>
</Properties>
</file>