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 p. @stadler_exiobase_2019)</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[acessed on 22.05.2020]</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1791"/>
        <w:gridCol w:w="1465"/>
        <w:gridCol w:w="1465"/>
        <w:gridCol w:w="1465"/>
        <w:gridCol w:w="1465"/>
        <w:gridCol w:w="1465"/>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 fp</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320</w:t>
            </w:r>
          </w:p>
        </w:tc>
      </w:tr>
    </w:tbl>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4992"/>
        <w:gridCol w:w="1016"/>
        <w:gridCol w:w="258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w:t>
      </w:r>
      <w:r>
        <w:t xml:space="preserve">. Some types of households may also be excluded from the samples, including super-rich households, for example Germany, which excludes households with over €18,000 monthly net income</w:t>
      </w:r>
      <w:r>
        <w:t xml:space="preserve"> </w:t>
      </w:r>
      <w:r>
        <w:t xml:space="preserve">Eurostat (2020)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65"/>
        <w:gridCol w:w="2408"/>
        <w:gridCol w:w="2465"/>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08"/>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3095"/>
        <w:gridCol w:w="1791"/>
        <w:gridCol w:w="1515"/>
        <w:gridCol w:w="151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s2</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total_footprint</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67</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305</w:t>
            </w:r>
          </w:p>
        </w:tc>
      </w:tr>
    </w:tbl>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58" w:name="refs"/>
    <w:bookmarkStart w:id="49" w:name="ref-eurostat_eu_2020"/>
    <w:p>
      <w:pPr>
        <w:pStyle w:val="Bibliography"/>
      </w:pPr>
      <w:r>
        <w:t xml:space="preserve">Eurostat, 2020. EU Quality Report of the Household Budget Survey 2015 Wave.</w:t>
      </w:r>
    </w:p>
    <w:bookmarkEnd w:id="49"/>
    <w:bookmarkStart w:id="50" w:name="ref-eurostat_description_2016"/>
    <w:p>
      <w:pPr>
        <w:pStyle w:val="Bibliography"/>
      </w:pPr>
      <w:r>
        <w:t xml:space="preserve">Eurostat, 2016. Description of the data transmission for the Household Budget Survey (HBS) for the Reference Year 2015 Version: 3.</w:t>
      </w:r>
    </w:p>
    <w:bookmarkEnd w:id="50"/>
    <w:bookmarkStart w:id="51" w:name="ref-eurostat_manual_2015"/>
    <w:p>
      <w:pPr>
        <w:pStyle w:val="Bibliography"/>
      </w:pPr>
      <w:r>
        <w:t xml:space="preserve">Eurostat, 2015. Manual for air emission accounts.</w:t>
      </w:r>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Start w:id="55"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54">
        <w:r>
          <w:rPr>
            <w:rStyle w:val="Hyperlink"/>
          </w:rPr>
          <w:t xml:space="preserve">https://doi.org/10.1111/jiec.12715</w:t>
        </w:r>
      </w:hyperlink>
    </w:p>
    <w:bookmarkEnd w:id="55"/>
    <w:bookmarkStart w:id="57" w:name="ref-stadler_exiobase_2019"/>
    <w:p>
      <w:pPr>
        <w:pStyle w:val="Bibliography"/>
      </w:pPr>
      <w:r>
        <w:t xml:space="preserve">Stadler, K., Wood, R., Bulavskaya, T., Södersten, C.-J., Simas, M., Schmidt, S., Usubiaga, A., Acosta-Fernández, J., Kuenen, J., Bruckner, M., Giljum, S., Lutter, S., Merciai, S., Schmidt, J.H., Theurl, M.C., Plutzar, C., Kastner, T., Eisenmenger, N., Erb, K.-H., Koning, A., Tukker, A., 2019. EXIOBASE 3.</w:t>
      </w:r>
      <w:r>
        <w:t xml:space="preserve"> </w:t>
      </w:r>
      <w:hyperlink r:id="rId56">
        <w:r>
          <w:rPr>
            <w:rStyle w:val="Hyperlink"/>
          </w:rPr>
          <w:t xml:space="preserve">https://doi.org/10.5281/zenodo.3583071</w:t>
        </w:r>
      </w:hyperlink>
    </w:p>
    <w:bookmarkEnd w:id="57"/>
    <w:bookmarkEnd w:id="5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56"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56"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2021-01-20T06:38:18Z</dcterms:created>
  <dcterms:modified xsi:type="dcterms:W3CDTF">2021-01-20T06:38:18Z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references-1.bib</vt:lpwstr>
  </property>
  <property fmtid="{D5CDD505-2E9C-101B-9397-08002B2CF9AE}" pid="4" name="csl">
    <vt:lpwstr>../templates/journal-of-archaeological-science.csl</vt:lpwstr>
  </property>
  <property fmtid="{D5CDD505-2E9C-101B-9397-08002B2CF9AE}" pid="5" name="output">
    <vt:lpwstr/>
  </property>
</Properties>
</file>