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t xml:space="preserve">Table S1:</w:t>
      </w:r>
      <w:r>
        <w:t xml:space="preserve"> </w:t>
      </w:r>
      <w:r>
        <w:rPr>
          <w:i/>
          <w:b/>
        </w:rPr>
        <w:t xml:space="preserve">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t xml:space="preserve">Table S2:</w:t>
      </w:r>
      <w:r>
        <w:t xml:space="preserve"> </w:t>
      </w:r>
      <w:r>
        <w:rPr>
          <w:i/>
          <w:b/>
        </w:rPr>
        <w:t xml:space="preserve">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t xml:space="preserve">Table S3:</w:t>
      </w:r>
      <w:r>
        <w:t xml:space="preserve"> </w:t>
      </w:r>
      <w:r>
        <w:rPr>
          <w:i/>
          <w:b/>
        </w:rPr>
        <w:t xml:space="preserve">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t xml:space="preserve">Table S4:</w:t>
      </w:r>
      <w:r>
        <w:t xml:space="preserve"> </w:t>
      </w:r>
      <w:r>
        <w:rPr>
          <w:i/>
          <w:b/>
        </w:rPr>
        <w:t xml:space="preserve">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t xml:space="preserve">Table S5:</w:t>
      </w:r>
      <w:r>
        <w:t xml:space="preserve"> </w:t>
      </w:r>
      <w:r>
        <w:rPr>
          <w:i/>
          <w:b/>
        </w:rPr>
        <w:t xml:space="preserve">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t xml:space="preserve">Table S6:</w:t>
      </w:r>
      <w:r>
        <w:t xml:space="preserve"> </w:t>
      </w:r>
      <w:r>
        <w:rPr>
          <w:i/>
          <w:b/>
        </w:rPr>
        <w:t xml:space="preserve">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t xml:space="preserve">Table S7:</w:t>
      </w:r>
      <w:r>
        <w:t xml:space="preserve"> </w:t>
      </w:r>
      <w:r>
        <w:rPr>
          <w:i/>
          <w:b/>
        </w:rPr>
        <w:t xml:space="preserve">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t xml:space="preserve">Table S8:</w:t>
      </w:r>
      <w:r>
        <w:t xml:space="preserve"> </w:t>
      </w:r>
      <w:r>
        <w:rPr>
          <w:i/>
          <w:b/>
        </w:rPr>
        <w:t xml:space="preserve">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t xml:space="preserve">Figure S1:</w:t>
      </w:r>
      <w:r>
        <w:t xml:space="preserve"> </w:t>
      </w:r>
      <w:r>
        <w:rPr>
          <w:i/>
          <w:b/>
        </w:rPr>
        <w:t xml:space="preserve">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t xml:space="preserve">Table S9:</w:t>
      </w:r>
      <w:r>
        <w:t xml:space="preserve"> </w:t>
      </w:r>
      <w:r>
        <w:rPr>
          <w:i/>
          <w:b/>
        </w:rPr>
        <w:t xml:space="preserve">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S10:</w:t>
      </w:r>
      <w:r>
        <w:t xml:space="preserve"> </w:t>
      </w:r>
      <w:r>
        <w:rPr>
          <w:i/>
          <w:b/>
        </w:rPr>
        <w:t xml:space="preserve">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t xml:space="preserve">Table S11:</w:t>
      </w:r>
      <w:r>
        <w:t xml:space="preserve"> </w:t>
      </w:r>
      <w:r>
        <w:rPr>
          <w:i/>
          <w:b/>
        </w:rPr>
        <w:t xml:space="preserve">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t xml:space="preserve">Table S12:</w:t>
      </w:r>
      <w:r>
        <w:t xml:space="preserve"> </w:t>
      </w:r>
      <w:r>
        <w:rPr>
          <w:i/>
          <w:b/>
        </w:rPr>
        <w:t xml:space="preserve">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t xml:space="preserve">Table S13:</w:t>
      </w:r>
      <w:r>
        <w:t xml:space="preserve"> </w:t>
      </w:r>
      <w:r>
        <w:rPr>
          <w:i/>
          <w:b/>
        </w:rPr>
        <w:t xml:space="preserve">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S2:</w:t>
      </w:r>
      <w:r>
        <w:t xml:space="preserve"> </w:t>
      </w:r>
      <w:r>
        <w:rPr>
          <w:i/>
          <w:b/>
        </w:rPr>
        <w:t xml:space="preserve">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S3:</w:t>
      </w:r>
      <w:r>
        <w:t xml:space="preserve"> </w:t>
      </w:r>
      <w:r>
        <w:rPr>
          <w:i/>
          <w:b/>
        </w:rPr>
        <w:t xml:space="preserve">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S4:</w:t>
      </w:r>
      <w:r>
        <w:t xml:space="preserve"> </w:t>
      </w:r>
      <w:r>
        <w:rPr>
          <w:i/>
          <w:b/>
        </w:rPr>
        <w:t xml:space="preserve">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S5:</w:t>
      </w:r>
      <w:r>
        <w:t xml:space="preserve"> </w:t>
      </w:r>
      <w:r>
        <w:rPr>
          <w:i/>
          <w:b/>
        </w:rPr>
        <w:t xml:space="preserve">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t xml:space="preserve">Figure S6:</w:t>
      </w:r>
      <w:r>
        <w:t xml:space="preserve"> </w:t>
      </w:r>
      <w:r>
        <w:rPr>
          <w:i/>
          <w:b/>
        </w:rPr>
        <w:t xml:space="preserve">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S7:</w:t>
      </w:r>
      <w:r>
        <w:t xml:space="preserve"> </w:t>
      </w:r>
      <w:r>
        <w:rPr>
          <w:i/>
          <w:b/>
        </w:rPr>
        <w:t xml:space="preserve">Mean energy available for Europe in decarbonisation scenarios, positioned in option space between a range of minimum energy requirements and range of associated maximum inequality.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Unit of analysis is household GJ per capita. Final energy (in household GJ per capita in 2050) from two more SSP scenarios (which do not necessarily hit the 1.5°C target) are added from the IIASA scenario database</w:t>
      </w:r>
      <w:r>
        <w:rPr>
          <w:i/>
          <w:b/>
        </w:rPr>
        <w:t xml:space="preserve"> </w:t>
      </w:r>
      <w:r>
        <w:rPr>
          <w:i/>
          <w:b/>
        </w:rPr>
        <w:t xml:space="preserve">(38)</w:t>
      </w:r>
      <w:r>
        <w:rPr>
          <w:i/>
          <w:b/>
        </w:rPr>
        <w:t xml:space="preserve"> </w:t>
      </w:r>
      <w:r>
        <w:rPr>
          <w:i/>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6"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5">
        <w:r>
          <w:rPr>
            <w:rStyle w:val="Hyperlink"/>
          </w:rPr>
          <w:t xml:space="preserve">https://onlinelibrary.wiley.com/doi/abs/10.1111/jiec.12715</w:t>
        </w:r>
      </w:hyperlink>
    </w:p>
    <w:bookmarkEnd w:id="56"/>
    <w:bookmarkStart w:id="57" w:name="ref-stadler_exiobase_2019"/>
    <w:p>
      <w:pPr>
        <w:pStyle w:val="Bibliography"/>
      </w:pPr>
      <w:r>
        <w:t xml:space="preserve">3.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7"/>
    <w:bookmarkStart w:id="58" w:name="ref-eurostat_database_nodate"/>
    <w:p>
      <w:pPr>
        <w:pStyle w:val="Bibliography"/>
      </w:pPr>
      <w:r>
        <w:t xml:space="preserve">4.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8"/>
    <w:bookmarkStart w:id="60"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9">
        <w:r>
          <w:rPr>
            <w:rStyle w:val="Hyperlink"/>
          </w:rPr>
          <w:t xml:space="preserve">https://www.R-project.org/</w:t>
        </w:r>
      </w:hyperlink>
    </w:p>
    <w:bookmarkEnd w:id="60"/>
    <w:bookmarkStart w:id="62"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1">
        <w:r>
          <w:rPr>
            <w:rStyle w:val="Hyperlink"/>
          </w:rPr>
          <w:t xml:space="preserve">https://joss.theoj.org/papers/10.21105/joss.01686</w:t>
        </w:r>
      </w:hyperlink>
    </w:p>
    <w:bookmarkEnd w:id="62"/>
    <w:bookmarkStart w:id="64"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3">
        <w:r>
          <w:rPr>
            <w:rStyle w:val="Hyperlink"/>
          </w:rPr>
          <w:t xml:space="preserve">https://CRAN.R-project.org/package=janitor</w:t>
        </w:r>
      </w:hyperlink>
    </w:p>
    <w:bookmarkEnd w:id="64"/>
    <w:bookmarkStart w:id="66" w:name="ref-muller_here:_2020"/>
    <w:p>
      <w:pPr>
        <w:pStyle w:val="Bibliography"/>
      </w:pPr>
      <w:r>
        <w:t xml:space="preserve">8. Müller K, Bryan J. Here: A Simpler Way to Find Your Files [Internet]. 2020 [cited 2021 Feb 1]. Available from:</w:t>
      </w:r>
      <w:r>
        <w:t xml:space="preserve"> </w:t>
      </w:r>
      <w:hyperlink r:id="rId65">
        <w:r>
          <w:rPr>
            <w:rStyle w:val="Hyperlink"/>
          </w:rPr>
          <w:t xml:space="preserve">https://CRAN.R-project.org/package=here</w:t>
        </w:r>
      </w:hyperlink>
    </w:p>
    <w:bookmarkEnd w:id="66"/>
    <w:bookmarkStart w:id="68"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7">
        <w:r>
          <w:rPr>
            <w:rStyle w:val="Hyperlink"/>
          </w:rPr>
          <w:t xml:space="preserve">https://CRAN.R-project.org/package=wbstats</w:t>
        </w:r>
      </w:hyperlink>
    </w:p>
    <w:bookmarkEnd w:id="68"/>
    <w:bookmarkStart w:id="70" w:name="ref-buchta_isocodes:_2020"/>
    <w:p>
      <w:pPr>
        <w:pStyle w:val="Bibliography"/>
      </w:pPr>
      <w:r>
        <w:t xml:space="preserve">10. Buchta C, Hornik [aut K, cre. ISOcodes: Selected ISO Codes [Internet]. 2020 [cited 2021 Feb 1]. Available from:</w:t>
      </w:r>
      <w:r>
        <w:t xml:space="preserve"> </w:t>
      </w:r>
      <w:hyperlink r:id="rId69">
        <w:r>
          <w:rPr>
            <w:rStyle w:val="Hyperlink"/>
          </w:rPr>
          <w:t xml:space="preserve">https://CRAN.R-project.org/package=ISOcodes</w:t>
        </w:r>
      </w:hyperlink>
    </w:p>
    <w:bookmarkEnd w:id="70"/>
    <w:bookmarkStart w:id="72" w:name="ref-garnier_viridis:_2018"/>
    <w:p>
      <w:pPr>
        <w:pStyle w:val="Bibliography"/>
      </w:pPr>
      <w:r>
        <w:t xml:space="preserve">11. Garnier S, Ross N, Rudis B, Sciaini M, Scherer C. Viridis: Default Color Maps from ’matplotlib’ [Internet]. 2018 [cited 2021 Feb 1]. Available from:</w:t>
      </w:r>
      <w:r>
        <w:t xml:space="preserve"> </w:t>
      </w:r>
      <w:hyperlink r:id="rId71">
        <w:r>
          <w:rPr>
            <w:rStyle w:val="Hyperlink"/>
          </w:rPr>
          <w:t xml:space="preserve">https://CRAN.R-project.org/package=viridis</w:t>
        </w:r>
      </w:hyperlink>
    </w:p>
    <w:bookmarkEnd w:id="72"/>
    <w:bookmarkStart w:id="74"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3">
        <w:r>
          <w:rPr>
            <w:rStyle w:val="Hyperlink"/>
          </w:rPr>
          <w:t xml:space="preserve">https://CRAN.R-project.org/package=hrbrthemes</w:t>
        </w:r>
      </w:hyperlink>
    </w:p>
    <w:bookmarkEnd w:id="74"/>
    <w:bookmarkStart w:id="76" w:name="ref-ram_wesanderson:_2018"/>
    <w:p>
      <w:pPr>
        <w:pStyle w:val="Bibliography"/>
      </w:pPr>
      <w:r>
        <w:t xml:space="preserve">13. Ram K, Wickham H, Richards C, Baggett A. Wesanderson: A Wes Anderson Palette Generator [Internet]. 2018 [cited 2021 Feb 1]. Available from:</w:t>
      </w:r>
      <w:r>
        <w:t xml:space="preserve"> </w:t>
      </w:r>
      <w:hyperlink r:id="rId75">
        <w:r>
          <w:rPr>
            <w:rStyle w:val="Hyperlink"/>
          </w:rPr>
          <w:t xml:space="preserve">https://CRAN.R-project.org/package=wesanderson</w:t>
        </w:r>
      </w:hyperlink>
    </w:p>
    <w:bookmarkEnd w:id="76"/>
    <w:bookmarkStart w:id="78" w:name="ref-hester_glue:_2020"/>
    <w:p>
      <w:pPr>
        <w:pStyle w:val="Bibliography"/>
      </w:pPr>
      <w:r>
        <w:t xml:space="preserve">14. Hester J. Glue: Interpreted String Literals [Internet]. 2020 [cited 2021 Feb 1]. Available from:</w:t>
      </w:r>
      <w:r>
        <w:t xml:space="preserve"> </w:t>
      </w:r>
      <w:hyperlink r:id="rId77">
        <w:r>
          <w:rPr>
            <w:rStyle w:val="Hyperlink"/>
          </w:rPr>
          <w:t xml:space="preserve">https://CRAN.R-project.org/package=glue</w:t>
        </w:r>
      </w:hyperlink>
    </w:p>
    <w:bookmarkEnd w:id="78"/>
    <w:bookmarkStart w:id="80" w:name="ref-wilke_ggridges:_2021"/>
    <w:p>
      <w:pPr>
        <w:pStyle w:val="Bibliography"/>
      </w:pPr>
      <w:r>
        <w:t xml:space="preserve">15. Wilke CO. Ggridges: Ridgeline Plots in ’ggplot2’ [Internet]. 2021 [cited 2021 Feb 1]. Available from:</w:t>
      </w:r>
      <w:r>
        <w:t xml:space="preserve"> </w:t>
      </w:r>
      <w:hyperlink r:id="rId79">
        <w:r>
          <w:rPr>
            <w:rStyle w:val="Hyperlink"/>
          </w:rPr>
          <w:t xml:space="preserve">https://CRAN.R-project.org/package=ggridges</w:t>
        </w:r>
      </w:hyperlink>
    </w:p>
    <w:bookmarkEnd w:id="80"/>
    <w:bookmarkStart w:id="82" w:name="ref-pedersen_patchwork:_2020"/>
    <w:p>
      <w:pPr>
        <w:pStyle w:val="Bibliography"/>
      </w:pPr>
      <w:r>
        <w:t xml:space="preserve">16. Pedersen TL. Patchwork: The Composer of Plots [Internet]. 2020 [cited 2021 Feb 1]. Available from:</w:t>
      </w:r>
      <w:r>
        <w:t xml:space="preserve"> </w:t>
      </w:r>
      <w:hyperlink r:id="rId81">
        <w:r>
          <w:rPr>
            <w:rStyle w:val="Hyperlink"/>
          </w:rPr>
          <w:t xml:space="preserve">https://CRAN.R-project.org/package=patchwork</w:t>
        </w:r>
      </w:hyperlink>
    </w:p>
    <w:bookmarkEnd w:id="82"/>
    <w:bookmarkStart w:id="84"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3">
        <w:r>
          <w:rPr>
            <w:rStyle w:val="Hyperlink"/>
          </w:rPr>
          <w:t xml:space="preserve">https://CRAN.R-project.org/package=kableExtra</w:t>
        </w:r>
      </w:hyperlink>
    </w:p>
    <w:bookmarkEnd w:id="84"/>
    <w:bookmarkStart w:id="86"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5">
        <w:r>
          <w:rPr>
            <w:rStyle w:val="Hyperlink"/>
          </w:rPr>
          <w:t xml:space="preserve">https://CRAN.R-project.org/package=readxl</w:t>
        </w:r>
      </w:hyperlink>
    </w:p>
    <w:bookmarkEnd w:id="86"/>
    <w:bookmarkStart w:id="88"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7">
        <w:r>
          <w:rPr>
            <w:rStyle w:val="Hyperlink"/>
          </w:rPr>
          <w:t xml:space="preserve">https://CRAN.R-project.org/package=flextable</w:t>
        </w:r>
      </w:hyperlink>
    </w:p>
    <w:bookmarkEnd w:id="88"/>
    <w:bookmarkStart w:id="90" w:name="ref-south_rworldmap:_2016"/>
    <w:p>
      <w:pPr>
        <w:pStyle w:val="Bibliography"/>
      </w:pPr>
      <w:r>
        <w:t xml:space="preserve">20. South A. Rworldmap: Mapping Global Data [Internet]. 2016 [cited 2021 Feb 1]. Available from:</w:t>
      </w:r>
      <w:r>
        <w:t xml:space="preserve"> </w:t>
      </w:r>
      <w:hyperlink r:id="rId89">
        <w:r>
          <w:rPr>
            <w:rStyle w:val="Hyperlink"/>
          </w:rPr>
          <w:t xml:space="preserve">https://CRAN.R-project.org/package=rworldmap</w:t>
        </w:r>
      </w:hyperlink>
    </w:p>
    <w:bookmarkEnd w:id="90"/>
    <w:bookmarkStart w:id="92"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1">
        <w:r>
          <w:rPr>
            <w:rStyle w:val="Hyperlink"/>
          </w:rPr>
          <w:t xml:space="preserve">https://CRAN.R-project.org/package=ggthemes</w:t>
        </w:r>
      </w:hyperlink>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2021-02-17T18:09:16Z</dcterms:created>
  <dcterms:modified xsi:type="dcterms:W3CDTF">2021-02-17T18:09:16Z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