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 p. @stadler_exiobase_2019)</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(Eurostat, n.d.a)</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(Miller and Blair, 1985)</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(ref: AR5 2014:</w:t>
      </w:r>
      <w:r>
        <w:t xml:space="preserve"> </w:t>
      </w:r>
      <w:hyperlink r:id="rId25">
        <w:r>
          <w:rPr>
            <w:rStyle w:val="Hyperlink"/>
          </w:rPr>
          <w:t xml:space="preserve">https://www.ghgprotocol.org/sites/default/files/ghgp/Global-Warming-Potential-Values%20%28Feb%2016%202016%29_1.pdf</w:t>
        </w:r>
      </w:hyperlink>
      <w:r>
        <w:t xml:space="preserve">):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6" w:name="Xc41d51128551b13356aa7c8db2f59c4b7980dfe"/>
      <w:r>
        <w:t xml:space="preserve">Satellite extensions direct from final demand</w:t>
      </w:r>
      <w:bookmarkEnd w:id="26"/>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(Eurostat, 2020a)</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(Eurostat, n.d.b)</w:t>
      </w:r>
    </w:p>
    <w:p>
      <w:pPr>
        <w:pStyle w:val="Heading2"/>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(Eurostat, n.d.c)</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(Statistics Norway, n.d.)</w:t>
      </w:r>
    </w:p>
    <w:p>
      <w:pPr>
        <w:pStyle w:val="Heading2"/>
      </w:pPr>
      <w:bookmarkStart w:id="31" w:name="method-for-main-paper-results"/>
      <w:r>
        <w:t xml:space="preserve">Method for main paper results</w:t>
      </w:r>
      <w:bookmarkEnd w:id="31"/>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1791"/>
        <w:gridCol w:w="1465"/>
        <w:gridCol w:w="1465"/>
        <w:gridCol w:w="1465"/>
        <w:gridCol w:w="1465"/>
        <w:gridCol w:w="1465"/>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 fp</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320</w:t>
            </w:r>
          </w:p>
        </w:tc>
      </w:tr>
    </w:tbl>
    <w:p>
      <w:pPr>
        <w:pStyle w:val="Heading2"/>
      </w:pPr>
      <w:bookmarkStart w:id="32" w:name="X5a317650670242e320f8b269c838ae48be4f85a"/>
      <w:r>
        <w:t xml:space="preserve">Mapping between EXIOBASE and EUROSTAT HBS</w:t>
      </w:r>
      <w:bookmarkEnd w:id="32"/>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4992"/>
        <w:gridCol w:w="1016"/>
        <w:gridCol w:w="258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4" w:name="limitations"/>
      <w:r>
        <w:t xml:space="preserve">Limitations</w:t>
      </w:r>
      <w:bookmarkEnd w:id="34"/>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(2020b)</w:t>
      </w:r>
      <w:r>
        <w:t xml:space="preserve">. Some types of households may also be excluded from the samples, including super-rich households, for example Germany, which excludes households with over €18,000 monthly net income</w:t>
      </w:r>
      <w:r>
        <w:t xml:space="preserve"> </w:t>
      </w:r>
      <w:r>
        <w:t xml:space="preserve">Eurostat (2020b)</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(2020b)</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 (ref).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5" w:name="purchaser-price-versus-base-price"/>
      <w:r>
        <w:t xml:space="preserve">Purchaser price versus base price</w:t>
      </w:r>
      <w:bookmarkEnd w:id="35"/>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65"/>
        <w:gridCol w:w="2408"/>
        <w:gridCol w:w="2465"/>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Heading2"/>
      </w:pPr>
      <w:bookmarkStart w:id="36" w:name="european-expenditure-deciles"/>
      <w:r>
        <w:t xml:space="preserve">European expenditure deciles</w:t>
      </w:r>
      <w:bookmarkEnd w:id="36"/>
    </w:p>
    <w:p>
      <w:pPr>
        <w:pStyle w:val="FirstParagraph"/>
      </w:pPr>
      <w:r>
        <w:t xml:space="preserve">Those countries with data in 2005, 2010 and 2015.</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r>
        <w:t xml:space="preserve"> </w:t>
      </w:r>
      <w:r>
        <w:t xml:space="preserve">(OECD, n.d.)</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08"/>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3095"/>
        <w:gridCol w:w="1791"/>
        <w:gridCol w:w="1515"/>
        <w:gridCol w:w="151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s2</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total_footprint</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67</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305</w:t>
            </w:r>
          </w:p>
        </w:tc>
      </w:tr>
    </w:tbl>
    <w:p>
      <w:pPr>
        <w:pStyle w:val="Heading1"/>
      </w:pPr>
      <w:bookmarkStart w:id="39" w:name="supplementary-results"/>
      <w:r>
        <w:t xml:space="preserve">Supplementary Results</w:t>
      </w:r>
      <w:bookmarkEnd w:id="39"/>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8" w:name="si-references"/>
      <w:r>
        <w:t xml:space="preserve">SI References</w:t>
      </w:r>
      <w:bookmarkEnd w:id="48"/>
    </w:p>
    <w:bookmarkStart w:id="65" w:name="refs"/>
    <w:bookmarkStart w:id="49" w:name="ref-eurostat_database_nodate"/>
    <w:p>
      <w:pPr>
        <w:pStyle w:val="Bibliography"/>
      </w:pPr>
      <w:r>
        <w:t xml:space="preserve">Eurostat, n.d.a. Database - Household budget surveys - Eurostat.</w:t>
      </w:r>
    </w:p>
    <w:bookmarkEnd w:id="49"/>
    <w:bookmarkStart w:id="50" w:name="ref-eurostat_eurostat_nodate"/>
    <w:p>
      <w:pPr>
        <w:pStyle w:val="Bibliography"/>
      </w:pPr>
      <w:r>
        <w:t xml:space="preserve">Eurostat, n.d.b. Eurostat - Data Explorer - Air emissions accounts by NACE Rev. 2 activity.</w:t>
      </w:r>
    </w:p>
    <w:bookmarkEnd w:id="50"/>
    <w:bookmarkStart w:id="51" w:name="ref-eurostat_eurostat_nodate-1"/>
    <w:p>
      <w:pPr>
        <w:pStyle w:val="Bibliography"/>
      </w:pPr>
      <w:r>
        <w:t xml:space="preserve">Eurostat, n.d.c. Eurostat - Data Explorer - Number of private households by household composition, number of children and age of youngest child (1 000).</w:t>
      </w:r>
    </w:p>
    <w:bookmarkEnd w:id="51"/>
    <w:bookmarkStart w:id="52" w:name="ref-eurostat_eurostat_2020"/>
    <w:p>
      <w:pPr>
        <w:pStyle w:val="Bibliography"/>
      </w:pPr>
      <w:r>
        <w:t xml:space="preserve">Eurostat, 2020a. Eurostat - Data Explorer - Energy supply and use by NACE Rev. 2 activity.</w:t>
      </w:r>
    </w:p>
    <w:bookmarkEnd w:id="52"/>
    <w:bookmarkStart w:id="53" w:name="ref-eurostat_eu_2020"/>
    <w:p>
      <w:pPr>
        <w:pStyle w:val="Bibliography"/>
      </w:pPr>
      <w:r>
        <w:t xml:space="preserve">Eurostat, 2020b. EU Quality Report of the Household Budget Survey 2015 Wave.</w:t>
      </w:r>
    </w:p>
    <w:bookmarkEnd w:id="53"/>
    <w:bookmarkStart w:id="54" w:name="ref-eurostat_description_2016"/>
    <w:p>
      <w:pPr>
        <w:pStyle w:val="Bibliography"/>
      </w:pPr>
      <w:r>
        <w:t xml:space="preserve">Eurostat, 2016. Description of the data transmission for the Household Budget Survey (HBS) for the Reference Year 2015 Version: 3.</w:t>
      </w:r>
    </w:p>
    <w:bookmarkEnd w:id="54"/>
    <w:bookmarkStart w:id="55" w:name="ref-eurostat_manual_2015"/>
    <w:p>
      <w:pPr>
        <w:pStyle w:val="Bibliography"/>
      </w:pPr>
      <w:r>
        <w:t xml:space="preserve">Eurostat, 2015. Manual for air emission accounts.</w:t>
      </w:r>
    </w:p>
    <w:bookmarkEnd w:id="55"/>
    <w:bookmarkStart w:id="56" w:name="ref-miller_input-output_1985"/>
    <w:p>
      <w:pPr>
        <w:pStyle w:val="Bibliography"/>
      </w:pPr>
      <w:r>
        <w:t xml:space="preserve">Miller, R.E., Blair, P.D., 1985. Input-output analysis: Foundations and extensions. Prentice-Hall, Englewood Cliffs, N.J.</w:t>
      </w:r>
    </w:p>
    <w:bookmarkEnd w:id="56"/>
    <w:bookmarkStart w:id="57" w:name="ref-oecd_sut_nodate"/>
    <w:p>
      <w:pPr>
        <w:pStyle w:val="Bibliography"/>
      </w:pPr>
      <w:r>
        <w:t xml:space="preserve">OECD, n.d. SUT Indicators : Trade and transport margins in percentage of total supply at purchasers’ prices.</w:t>
      </w:r>
    </w:p>
    <w:bookmarkEnd w:id="57"/>
    <w:bookmarkStart w:id="59"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8">
        <w:r>
          <w:rPr>
            <w:rStyle w:val="Hyperlink"/>
          </w:rPr>
          <w:t xml:space="preserve">https://doi.org/10.1038/s41560-020-0579-8</w:t>
        </w:r>
      </w:hyperlink>
    </w:p>
    <w:bookmarkEnd w:id="59"/>
    <w:bookmarkStart w:id="61"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60">
        <w:r>
          <w:rPr>
            <w:rStyle w:val="Hyperlink"/>
          </w:rPr>
          <w:t xml:space="preserve">https://doi.org/10.1111/jiec.12715</w:t>
        </w:r>
      </w:hyperlink>
    </w:p>
    <w:bookmarkEnd w:id="61"/>
    <w:bookmarkStart w:id="63" w:name="ref-stadler_exiobase_2019"/>
    <w:p>
      <w:pPr>
        <w:pStyle w:val="Bibliography"/>
      </w:pPr>
      <w:r>
        <w:t xml:space="preserve">Stadler, K., Wood, R., Bulavskaya, T., Södersten, C.-J., Simas, M., Schmidt, S., Usubiaga, A., Acosta-Fernández, J., Kuenen, J., Bruckner, M., Giljum, S., Lutter, S., Merciai, S., Schmidt, J.H., Theurl, M.C., Plutzar, C., Kastner, T., Eisenmenger, N., Erb, K.-H., Koning, A., Tukker, A., 2019. EXIOBASE 3.</w:t>
      </w:r>
      <w:r>
        <w:t xml:space="preserve"> </w:t>
      </w:r>
      <w:hyperlink r:id="rId62">
        <w:r>
          <w:rPr>
            <w:rStyle w:val="Hyperlink"/>
          </w:rPr>
          <w:t xml:space="preserve">https://doi.org/10.5281/zenodo.3583071</w:t>
        </w:r>
      </w:hyperlink>
    </w:p>
    <w:bookmarkEnd w:id="63"/>
    <w:bookmarkStart w:id="64" w:name="ref-statistics_norway_10986:_nodate"/>
    <w:p>
      <w:pPr>
        <w:pStyle w:val="Bibliography"/>
      </w:pPr>
      <w:r>
        <w:t xml:space="preserve">Statistics Norway, n.d. 10986: Private households and persons in private households, by type of household (C) 2005 - 2020. PX-Web SSB.</w:t>
      </w:r>
    </w:p>
    <w:bookmarkEnd w:id="64"/>
    <w:bookmarkEnd w:id="65"/>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8" Target="https://doi.org/10.1038/s41560-020-0579-8" TargetMode="External" /><Relationship Type="http://schemas.openxmlformats.org/officeDocument/2006/relationships/hyperlink" Id="rId60" Target="https://doi.org/10.1111/jiec.12715" TargetMode="External" /><Relationship Type="http://schemas.openxmlformats.org/officeDocument/2006/relationships/hyperlink" Id="rId62"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8" Target="https://doi.org/10.1038/s41560-020-0579-8" TargetMode="External" /><Relationship Type="http://schemas.openxmlformats.org/officeDocument/2006/relationships/hyperlink" Id="rId60" Target="https://doi.org/10.1111/jiec.12715" TargetMode="External" /><Relationship Type="http://schemas.openxmlformats.org/officeDocument/2006/relationships/hyperlink" Id="rId62"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2021-01-20T07:23:13Z</dcterms:created>
  <dcterms:modified xsi:type="dcterms:W3CDTF">2021-01-20T07:23:13Z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references-1.bib</vt:lpwstr>
  </property>
  <property fmtid="{D5CDD505-2E9C-101B-9397-08002B2CF9AE}" pid="4" name="csl">
    <vt:lpwstr>../templates/journal-of-archaeological-science.csl</vt:lpwstr>
  </property>
  <property fmtid="{D5CDD505-2E9C-101B-9397-08002B2CF9AE}" pid="5" name="output">
    <vt:lpwstr/>
  </property>
</Properties>
</file>