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2.png" ContentType="image/png"/>
  <Override PartName="/word/media/rId44.png" ContentType="image/png"/>
  <Override PartName="/word/media/rId46.png" ContentType="image/png"/>
  <Override PartName="/word/media/rId48.png" ContentType="image/png"/>
  <Override PartName="/word/media/rId50.png" ContentType="image/png"/>
  <Override PartName="/word/media/rId36.png" ContentType="image/png"/>
  <Override PartName="/word/media/rId52.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1.5°C</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35 pages, 13 tables, 7 figures</w:t>
      </w:r>
    </w:p>
    <w:p>
      <w:pPr>
        <w:pStyle w:val="Compact"/>
        <w:numPr>
          <w:numId w:val="1001"/>
          <w:ilvl w:val="0"/>
        </w:numPr>
      </w:pPr>
      <w:hyperlink w:anchor="supplementary-materials-and-methods">
        <w:r>
          <w:rPr>
            <w:rStyle w:val="Hyperlink"/>
          </w:rPr>
          <w:t xml:space="preserve">Supplementary Materials and Methods</w:t>
        </w:r>
      </w:hyperlink>
    </w:p>
    <w:p>
      <w:pPr>
        <w:pStyle w:val="Compact"/>
        <w:numPr>
          <w:numId w:val="1002"/>
          <w:ilvl w:val="1"/>
        </w:numPr>
      </w:pPr>
      <w:hyperlink w:anchor="Xbe52612aa2a08d9191ee3670ef3da1063ab3590">
        <w:r>
          <w:rPr>
            <w:rStyle w:val="Hyperlink"/>
          </w:rPr>
          <w:t xml:space="preserve">Income-stratified national household energy and carbon footprints</w:t>
        </w:r>
      </w:hyperlink>
    </w:p>
    <w:p>
      <w:pPr>
        <w:pStyle w:val="Compact"/>
        <w:numPr>
          <w:numId w:val="1003"/>
          <w:ilvl w:val="2"/>
        </w:numPr>
      </w:pPr>
      <w:hyperlink w:anchor="exiobase">
        <w:r>
          <w:rPr>
            <w:rStyle w:val="Hyperlink"/>
          </w:rPr>
          <w:t xml:space="preserve">EXIOBASE</w:t>
        </w:r>
      </w:hyperlink>
    </w:p>
    <w:p>
      <w:pPr>
        <w:pStyle w:val="Compact"/>
        <w:numPr>
          <w:numId w:val="1003"/>
          <w:ilvl w:val="2"/>
        </w:numPr>
      </w:pPr>
      <w:hyperlink w:anchor="eurostat-hbs">
        <w:r>
          <w:rPr>
            <w:rStyle w:val="Hyperlink"/>
          </w:rPr>
          <w:t xml:space="preserve">EUROSTAT HBS</w:t>
        </w:r>
      </w:hyperlink>
    </w:p>
    <w:p>
      <w:pPr>
        <w:pStyle w:val="Compact"/>
        <w:numPr>
          <w:numId w:val="1003"/>
          <w:ilvl w:val="2"/>
        </w:numPr>
      </w:pPr>
      <w:hyperlink w:anchor="method-for-main-paper-results">
        <w:r>
          <w:rPr>
            <w:rStyle w:val="Hyperlink"/>
          </w:rPr>
          <w:t xml:space="preserve">Method for main paper results</w:t>
        </w:r>
      </w:hyperlink>
    </w:p>
    <w:p>
      <w:pPr>
        <w:pStyle w:val="Compact"/>
        <w:numPr>
          <w:numId w:val="1003"/>
          <w:ilvl w:val="2"/>
        </w:numPr>
      </w:pPr>
      <w:hyperlink w:anchor="Xbfbd531a14099eb2827f97ea2991c0935e43b23">
        <w:r>
          <w:rPr>
            <w:rStyle w:val="Hyperlink"/>
          </w:rPr>
          <w:t xml:space="preserve">Correspondence between EXIOBASE and EUROSTAT HBS</w:t>
        </w:r>
      </w:hyperlink>
    </w:p>
    <w:p>
      <w:pPr>
        <w:pStyle w:val="Compact"/>
        <w:numPr>
          <w:numId w:val="1003"/>
          <w:ilvl w:val="2"/>
        </w:numPr>
      </w:pPr>
      <w:hyperlink w:anchor="country-and-year-coverage">
        <w:r>
          <w:rPr>
            <w:rStyle w:val="Hyperlink"/>
          </w:rPr>
          <w:t xml:space="preserve">Country and year coverage</w:t>
        </w:r>
      </w:hyperlink>
    </w:p>
    <w:p>
      <w:pPr>
        <w:pStyle w:val="Compact"/>
        <w:numPr>
          <w:numId w:val="1002"/>
          <w:ilvl w:val="1"/>
        </w:numPr>
      </w:pPr>
      <w:hyperlink w:anchor="european-household-expenditure-deciles">
        <w:r>
          <w:rPr>
            <w:rStyle w:val="Hyperlink"/>
          </w:rPr>
          <w:t xml:space="preserve">European household expenditure deciles</w:t>
        </w:r>
      </w:hyperlink>
    </w:p>
    <w:p>
      <w:pPr>
        <w:pStyle w:val="Compact"/>
        <w:numPr>
          <w:numId w:val="1002"/>
          <w:ilvl w:val="1"/>
        </w:numPr>
      </w:pPr>
      <w:hyperlink w:anchor="limitations">
        <w:r>
          <w:rPr>
            <w:rStyle w:val="Hyperlink"/>
          </w:rPr>
          <w:t xml:space="preserve">Limitations</w:t>
        </w:r>
      </w:hyperlink>
    </w:p>
    <w:p>
      <w:pPr>
        <w:pStyle w:val="Compact"/>
        <w:numPr>
          <w:numId w:val="1004"/>
          <w:ilvl w:val="2"/>
        </w:numPr>
      </w:pPr>
      <w:hyperlink w:anchor="Xc9cc011df3901412df578718cd85618f03e30b3">
        <w:r>
          <w:rPr>
            <w:rStyle w:val="Hyperlink"/>
          </w:rPr>
          <w:t xml:space="preserve">Alternative method for income-stratified national household energy and carbon footprints</w:t>
        </w:r>
      </w:hyperlink>
    </w:p>
    <w:p>
      <w:pPr>
        <w:pStyle w:val="Compact"/>
        <w:numPr>
          <w:numId w:val="1001"/>
          <w:ilvl w:val="0"/>
        </w:numPr>
      </w:pPr>
      <w:hyperlink w:anchor="supplementary-results">
        <w:r>
          <w:rPr>
            <w:rStyle w:val="Hyperlink"/>
          </w:rPr>
          <w:t xml:space="preserve">Supplementary Results</w:t>
        </w:r>
      </w:hyperlink>
    </w:p>
    <w:p>
      <w:pPr>
        <w:pStyle w:val="Compact"/>
        <w:numPr>
          <w:numId w:val="1005"/>
          <w:ilvl w:val="1"/>
        </w:numPr>
      </w:pPr>
      <w:hyperlink w:anchor="Xe207d596d471af4703746a0b1b8f29567c88f87">
        <w:r>
          <w:rPr>
            <w:rStyle w:val="Hyperlink"/>
          </w:rPr>
          <w:t xml:space="preserve">Year 2005, using main method, EXIOBASE industry-by-industry</w:t>
        </w:r>
      </w:hyperlink>
    </w:p>
    <w:p>
      <w:pPr>
        <w:pStyle w:val="Compact"/>
        <w:numPr>
          <w:numId w:val="1005"/>
          <w:ilvl w:val="1"/>
        </w:numPr>
      </w:pPr>
      <w:hyperlink w:anchor="X284a105ff3fc9db6479552ecc7281970de71e88">
        <w:r>
          <w:rPr>
            <w:rStyle w:val="Hyperlink"/>
          </w:rPr>
          <w:t xml:space="preserve">Year 2010, using main method, EXIOBASE industry-by-industry</w:t>
        </w:r>
      </w:hyperlink>
    </w:p>
    <w:p>
      <w:pPr>
        <w:pStyle w:val="Compact"/>
        <w:numPr>
          <w:numId w:val="1005"/>
          <w:ilvl w:val="1"/>
        </w:numPr>
      </w:pPr>
      <w:hyperlink w:anchor="X16e25bf1cb58780369add2195c6c855688ff41a">
        <w:r>
          <w:rPr>
            <w:rStyle w:val="Hyperlink"/>
          </w:rPr>
          <w:t xml:space="preserve">Year 2010, using main method, EXIOBASE product-by-product</w:t>
        </w:r>
      </w:hyperlink>
    </w:p>
    <w:p>
      <w:pPr>
        <w:pStyle w:val="Compact"/>
        <w:numPr>
          <w:numId w:val="1005"/>
          <w:ilvl w:val="1"/>
        </w:numPr>
      </w:pPr>
      <w:hyperlink w:anchor="Xb20911a960b750614e7ef242a4c565accb73b3d">
        <w:r>
          <w:rPr>
            <w:rStyle w:val="Hyperlink"/>
          </w:rPr>
          <w:t xml:space="preserve">Year 2015, using alternative method, EXIOBASE industry-by-industry</w:t>
        </w:r>
      </w:hyperlink>
    </w:p>
    <w:p>
      <w:pPr>
        <w:pStyle w:val="Compact"/>
        <w:numPr>
          <w:numId w:val="1001"/>
          <w:ilvl w:val="0"/>
        </w:numPr>
      </w:pPr>
      <w:hyperlink w:anchor="units-of-analysis">
        <w:r>
          <w:rPr>
            <w:rStyle w:val="Hyperlink"/>
          </w:rPr>
          <w:t xml:space="preserve">Units of analysis</w:t>
        </w:r>
      </w:hyperlink>
    </w:p>
    <w:p>
      <w:pPr>
        <w:pStyle w:val="Compact"/>
        <w:numPr>
          <w:numId w:val="1006"/>
          <w:ilvl w:val="1"/>
        </w:numPr>
      </w:pPr>
      <w:hyperlink w:anchor="Xf329215321af9ee65f150ab66003812d0079232">
        <w:r>
          <w:rPr>
            <w:rStyle w:val="Hyperlink"/>
          </w:rPr>
          <w:t xml:space="preserve">Figure 5 from main paper in household final energy per capita</w:t>
        </w:r>
      </w:hyperlink>
    </w:p>
    <w:p>
      <w:pPr>
        <w:pStyle w:val="Compact"/>
        <w:numPr>
          <w:numId w:val="1001"/>
          <w:ilvl w:val="0"/>
        </w:numPr>
      </w:pPr>
      <w:hyperlink w:anchor="references">
        <w:r>
          <w:rPr>
            <w:rStyle w:val="Hyperlink"/>
          </w:rPr>
          <w:t xml:space="preserve">References</w:t>
        </w:r>
      </w:hyperlink>
    </w:p>
    <w:p>
      <w:pPr>
        <w:pStyle w:val="Heading1"/>
      </w:pPr>
      <w:bookmarkStart w:id="20" w:name="supplementary-materials-and-methods"/>
      <w:r>
        <w:t xml:space="preserve">Supplementary Materials and Methods</w:t>
      </w:r>
      <w:bookmarkEnd w:id="20"/>
    </w:p>
    <w:p>
      <w:pPr>
        <w:pStyle w:val="FirstParagraph"/>
      </w:pPr>
      <w:r>
        <w:t xml:space="preserve">In this paper we first stratified EXIOBASE national household energy and carbon footprints by income quintile, using data from the EUROSTAT Household Budget Survey (HBS). We then ranked all of these national income quintiles (140 quintiles in total: 28 countries x 5 national income quintiles) according to their mean expenditure in purchasing power standards (PPS), and aggregated them into 10 European expenditure deciles. The resultant household energy and carbon footprints per European expenditure decile in the year 2015 are then our level of analysis through the whole main paper. In this SI document, we explain these steps in more detail, discuss limitations, and provide some supplementary results at the end.</w:t>
      </w:r>
    </w:p>
    <w:p>
      <w:pPr>
        <w:pStyle w:val="Heading2"/>
      </w:pPr>
      <w:bookmarkStart w:id="21" w:name="Xbe52612aa2a08d9191ee3670ef3da1063ab3590"/>
      <w:r>
        <w:t xml:space="preserve">Income-stratified national household energy and carbon footprints</w:t>
      </w:r>
      <w:bookmarkEnd w:id="21"/>
    </w:p>
    <w:p>
      <w:pPr>
        <w:pStyle w:val="FirstParagraph"/>
      </w:pPr>
      <w:r>
        <w:t xml:space="preserve">The first step was stratifying an Environmentally-Extended Multi-Regional Input-Output (EE-MRIO) model’s household final demand expenditure by income quantile, and then multiplying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w:t>
      </w:r>
    </w:p>
    <w:p>
      <w:pPr>
        <w:pStyle w:val="BodyText"/>
      </w:pPr>
      <w:r>
        <w:t xml:space="preserve">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w:t>
      </w:r>
    </w:p>
    <w:p>
      <w:pPr>
        <w:pStyle w:val="BodyText"/>
      </w:pPr>
      <w:r>
        <w:t xml:space="preserve">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r>
        <w:t xml:space="preserve"> </w:t>
      </w:r>
      <w:r>
        <w:t xml:space="preserve">(1)</w:t>
      </w:r>
      <w:r>
        <w:t xml:space="preserve">.</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Current publicly available EE-MRIOs do not have final demand expenditure stratified by income quantile. The underlying distribution of final demand expenditure and footprint across income groups is therefore hidden.</w:t>
      </w:r>
    </w:p>
    <w:p>
      <w:pPr>
        <w:pStyle w:val="BodyText"/>
      </w:pPr>
      <w:r>
        <w:t xml:space="preserve">In order to stratify the EE-MRIO final demand expenditure and footprint by income quantile, a second data input is needed with information on the income/expenditure distribution. This could be a household budget survey (HBS) stratified by income quantile or, at a more aggregate level, the national income distribution. In this paper we use:</w:t>
      </w:r>
    </w:p>
    <w:p>
      <w:pPr>
        <w:numPr>
          <w:numId w:val="1007"/>
          <w:ilvl w:val="0"/>
        </w:numPr>
      </w:pPr>
      <w:r>
        <w:t xml:space="preserve">EE-MRIO: EXIOBASE version3.7 ixi, from:</w:t>
      </w:r>
      <w:r>
        <w:t xml:space="preserve"> </w:t>
      </w:r>
      <w:hyperlink r:id="rId22">
        <w:r>
          <w:rPr>
            <w:rStyle w:val="Hyperlink"/>
          </w:rPr>
          <w:t xml:space="preserve">https://zenodo.org/record/3583071#.XjC7kSN4wpY</w:t>
        </w:r>
      </w:hyperlink>
      <w:r>
        <w:t xml:space="preserve"> </w:t>
      </w:r>
      <w:r>
        <w:t xml:space="preserve">[accessed on 12.03.2020]</w:t>
      </w:r>
      <w:r>
        <w:t xml:space="preserve"> </w:t>
      </w:r>
      <w:r>
        <w:t xml:space="preserve">(2)</w:t>
      </w:r>
      <w:r>
        <w:t xml:space="preserve"> </w:t>
      </w:r>
      <w:r>
        <w:t xml:space="preserve">(3)</w:t>
      </w:r>
    </w:p>
    <w:p>
      <w:pPr>
        <w:numPr>
          <w:numId w:val="1007"/>
          <w:ilvl w:val="0"/>
        </w:numPr>
      </w:pPr>
      <w:r>
        <w:t xml:space="preserve">HBS: European household budget survey from EUROSTAT, macro-data, from :</w:t>
      </w:r>
      <w:r>
        <w:t xml:space="preserve"> </w:t>
      </w:r>
      <w:hyperlink r:id="rId23">
        <w:r>
          <w:rPr>
            <w:rStyle w:val="Hyperlink"/>
          </w:rPr>
          <w:t xml:space="preserve">https://ec.europa.eu/eurostat/web/household-budget-surveys/database</w:t>
        </w:r>
      </w:hyperlink>
      <w:r>
        <w:t xml:space="preserve"> </w:t>
      </w:r>
      <w:r>
        <w:t xml:space="preserve">[accessed on 22.05.2020]</w:t>
      </w:r>
      <w:r>
        <w:t xml:space="preserve"> </w:t>
      </w:r>
      <w:r>
        <w:t xml:space="preserve">(4)</w:t>
      </w:r>
    </w:p>
    <w:p>
      <w:pPr>
        <w:pStyle w:val="FirstParagraph"/>
      </w:pPr>
      <w:r>
        <w:t xml:space="preserve">We discuss each of these in turn, including additional data inputs needed to complement the HBS. We then present our methodology for our results from the main paper and some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(5)</w:t>
      </w:r>
      <w:r>
        <w:t xml:space="preserve">, using a variety of R packages</w:t>
      </w:r>
      <w:r>
        <w:t xml:space="preserve"> </w:t>
      </w:r>
      <w:r>
        <w:t xml:space="preserve">(6)</w:t>
      </w:r>
      <w:r>
        <w:t xml:space="preserve"> </w:t>
      </w:r>
      <w:r>
        <w:t xml:space="preserve">(7)</w:t>
      </w:r>
      <w:r>
        <w:t xml:space="preserve"> </w:t>
      </w:r>
      <w:r>
        <w:t xml:space="preserve">(8)</w:t>
      </w:r>
      <w:r>
        <w:t xml:space="preserve"> </w:t>
      </w:r>
      <w:r>
        <w:t xml:space="preserve">(9)</w:t>
      </w:r>
      <w:r>
        <w:t xml:space="preserve"> </w:t>
      </w:r>
      <w:r>
        <w:t xml:space="preserve">(10)</w:t>
      </w:r>
      <w:r>
        <w:t xml:space="preserve"> </w:t>
      </w:r>
      <w:r>
        <w:t xml:space="preserve">(11)</w:t>
      </w:r>
      <w:r>
        <w:t xml:space="preserve"> </w:t>
      </w:r>
      <w:r>
        <w:t xml:space="preserve">(12)</w:t>
      </w:r>
      <w:r>
        <w:t xml:space="preserve"> </w:t>
      </w:r>
      <w:r>
        <w:t xml:space="preserve">(13)</w:t>
      </w:r>
      <w:r>
        <w:t xml:space="preserve"> </w:t>
      </w:r>
      <w:r>
        <w:t xml:space="preserve">(14)</w:t>
      </w:r>
      <w:r>
        <w:t xml:space="preserve"> </w:t>
      </w:r>
      <w:r>
        <w:t xml:space="preserve">(15)</w:t>
      </w:r>
      <w:r>
        <w:t xml:space="preserve"> </w:t>
      </w:r>
      <w:r>
        <w:t xml:space="preserve">(16)</w:t>
      </w:r>
      <w:r>
        <w:t xml:space="preserve"> </w:t>
      </w:r>
      <w:r>
        <w:t xml:space="preserve">(17)</w:t>
      </w:r>
      <w:r>
        <w:t xml:space="preserve"> </w:t>
      </w:r>
      <w:r>
        <w:t xml:space="preserve">(18)</w:t>
      </w:r>
      <w:r>
        <w:t xml:space="preserve"> </w:t>
      </w:r>
      <w:r>
        <w:t xml:space="preserve">(19)</w:t>
      </w:r>
      <w:r>
        <w:t xml:space="preserve"> </w:t>
      </w:r>
      <w:r>
        <w:t xml:space="preserve">(20)</w:t>
      </w:r>
      <w:r>
        <w:t xml:space="preserve"> </w:t>
      </w:r>
      <w:r>
        <w:t xml:space="preserve">(21)</w:t>
      </w:r>
      <w:r>
        <w:t xml:space="preserve">.</w:t>
      </w:r>
    </w:p>
    <w:p>
      <w:pPr>
        <w:pStyle w:val="Heading3"/>
      </w:pPr>
      <w:bookmarkStart w:id="24" w:name="exiobase"/>
      <w:r>
        <w:t xml:space="preserve">EXIOBASE</w:t>
      </w:r>
      <w:bookmarkEnd w:id="24"/>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(1)</w:t>
      </w:r>
      <w:r>
        <w:t xml:space="preserve">. EXIOBASE publishes the A matrix, the final demand matrix, the satellite extensions matrix, and satellite extensions direct from final demand matrix. We use the industry-by-industry (ixi) EXIOBASE data tables from EXIOBASE version3.7. This means 163 industry production sectors and 6 final demand categories for 49 regions worldwide (44 countries and 5 rest-of-world regions), from 1995 - 2016. All monetary units are in million current Euros. Stadler et al. (2018)</w:t>
      </w:r>
      <w:r>
        <w:t xml:space="preserve"> </w:t>
      </w:r>
      <w:r>
        <w:t xml:space="preserve">(2)</w:t>
      </w:r>
      <w:r>
        <w:t xml:space="preserve"> </w:t>
      </w:r>
      <w:r>
        <w:t xml:space="preserve">describe the EXIOBASE version3.7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stratify national household final demand expenditure by income quintile according to the structure of the EUROSTAT HBS,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4"/>
      </w:pPr>
      <w:bookmarkStart w:id="25" w:name="environmental-extensions"/>
      <w:r>
        <w:t xml:space="preserve">Environmental extensions</w:t>
      </w:r>
      <w:bookmarkEnd w:id="25"/>
    </w:p>
    <w:p>
      <w:pPr>
        <w:pStyle w:val="FirstParagraph"/>
      </w:pPr>
      <w:r>
        <w:t xml:space="preserve">The environmental extensions we use are emissions of CO2-equivalence (in kilograms) and</w:t>
      </w:r>
      <w:r>
        <w:t xml:space="preserve"> </w:t>
      </w:r>
      <w:r>
        <w:t xml:space="preserve">‘</w:t>
      </w:r>
      <w:r>
        <w:t xml:space="preserve">gross total energy use</w:t>
      </w:r>
      <w:r>
        <w:t xml:space="preserve">’</w:t>
      </w:r>
      <w:r>
        <w:t xml:space="preserve"> </w:t>
      </w:r>
      <w:r>
        <w:t xml:space="preserve">(in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International Energy Agency (IEA) energy balance data from the territorial to residence principle following System of Environmental Economic Accounting (SEEA) energy accounting principles. In their Supporting Information 2, Stadler et al. (2018)</w:t>
      </w:r>
      <w:r>
        <w:t xml:space="preserve"> </w:t>
      </w:r>
      <w:r>
        <w:t xml:space="preserve">(2)</w:t>
      </w:r>
      <w:r>
        <w:t xml:space="preserve"> </w:t>
      </w:r>
      <w:r>
        <w:t xml:space="preserve">describe the compilation of the energy extensions in EXIOBASE version3.7. Energy supply and use tables from the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is allocated to the resident units of a country, independent from where these activities take place. In EXIOBASE version3.7, because emissions from these transport activities are estimated from the energy extensions via emission factors, the emissions extensions follow the residence principle as well.</w:t>
      </w:r>
    </w:p>
    <w:p>
      <w:pPr>
        <w:pStyle w:val="Heading4"/>
      </w:pPr>
      <w:bookmarkStart w:id="26" w:name="X02a4e6e6afb08f4eea7f3cf6b179b994a11a010"/>
      <w:r>
        <w:t xml:space="preserve">Environmental extensions direct from households</w:t>
      </w:r>
      <w:bookmarkEnd w:id="26"/>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8"/>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8"/>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3"/>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9"/>
          <w:ilvl w:val="0"/>
        </w:numPr>
      </w:pPr>
      <w:r>
        <w:t xml:space="preserve">‘</w:t>
      </w:r>
      <w:r>
        <w:t xml:space="preserve">Mean consumption expenditure by income quintile (hbs_exp_t133)</w:t>
      </w:r>
      <w:r>
        <w:t xml:space="preserve">’</w:t>
      </w:r>
    </w:p>
    <w:p>
      <w:pPr>
        <w:numPr>
          <w:numId w:val="1009"/>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 due to their importance for energy use and emissions.</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Corresponding all housing-related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per household and per adult equivalent. We use households per adult equivalent as our unit of analysis throughout the main paper, and in order to express our footprint estimates per adult equivalent, we needed the total number of private households in each country and year, and for this, two additional data tables were needed. We used:</w:t>
      </w:r>
    </w:p>
    <w:p>
      <w:pPr>
        <w:numPr>
          <w:numId w:val="1010"/>
          <w:ilvl w:val="0"/>
        </w:numPr>
      </w:pPr>
      <w:r>
        <w:t xml:space="preserve">The</w:t>
      </w:r>
      <w:r>
        <w:t xml:space="preserve"> </w:t>
      </w:r>
      <w:r>
        <w:t xml:space="preserve">‘</w:t>
      </w:r>
      <w:r>
        <w:t xml:space="preserve">lfst_hhnhtych</w:t>
      </w:r>
      <w:r>
        <w:t xml:space="preserve">’</w:t>
      </w:r>
      <w:r>
        <w:t xml:space="preserve"> </w:t>
      </w:r>
      <w:r>
        <w:t xml:space="preserve">table from EUROSTAT (Number of private households), selecting all available years and total households [accessed on 04.05.2020].</w:t>
      </w:r>
      <w:r>
        <w:t xml:space="preserve"> </w:t>
      </w:r>
      <w:r>
        <w:t xml:space="preserve">(27)</w:t>
      </w:r>
    </w:p>
    <w:p>
      <w:pPr>
        <w:numPr>
          <w:numId w:val="1010"/>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3"/>
      </w:pPr>
      <w:bookmarkStart w:id="31" w:name="method-for-main-paper-results"/>
      <w:r>
        <w:t xml:space="preserve">Method for main paper results</w:t>
      </w:r>
      <w:bookmarkEnd w:id="31"/>
    </w:p>
    <w:p>
      <w:pPr>
        <w:pStyle w:val="FirstParagraph"/>
      </w:pPr>
      <w:r>
        <w:t xml:space="preserve">For our results in the main paper, we first stratify the EXIOBASE national household final demand expenditure (before calculating the footprint) by income quintile, using the relative expenditure shares of each income quintile on the COICOP consumption categories in the EUROSTAT HBS. We do this for 2005, 2010 and 2015, but only present 2015 in the main paper.</w:t>
      </w:r>
    </w:p>
    <w:p>
      <w:pPr>
        <w:pStyle w:val="BodyText"/>
      </w:pPr>
      <w:r>
        <w:t xml:space="preserve">The initial step was creating a correspondence table, assigning each production sector in EXIOBASE to one COICOP consumption category in the HBS. Because the share of each consumption category/production sector in the total amount of expenditure is not identical between the HBS and EXIOBASE, there are two possible methods for then stratifying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stratification by income quintile.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EXIOBASE production sectors that correspond to one HBS consumption category.</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standards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i/>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stratify it by income quintile (Table S2).</w:t>
      </w:r>
    </w:p>
    <w:p>
      <w:pPr>
        <w:pStyle w:val="BodyText"/>
      </w:pPr>
      <w:r>
        <w:rPr>
          <w:i/>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stratified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stratified by income quintile (Table S3). The total footprint per sector (</w:t>
      </w:r>
      <w:r>
        <w:t xml:space="preserve">‘</w:t>
      </w:r>
      <w:r>
        <w:t xml:space="preserve">total fp</w:t>
      </w:r>
      <w:r>
        <w:t xml:space="preserve">’</w:t>
      </w:r>
      <w:r>
        <w:t xml:space="preserve">) is the same as if we had simply multiplied the non-stratified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i/>
          <w:b/>
        </w:rPr>
        <w:t xml:space="preserve">Table S3: Calculation of EE-MRIO household footprint stratified by income quintile, through multiplication of EE-MRIO household final demand expenditure per income quintile and sector by the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vector (TIV) calculated in the EE-MRIO (with only one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3"/>
      </w:pPr>
      <w:bookmarkStart w:id="32" w:name="Xbfbd531a14099eb2827f97ea2991c0935e43b23"/>
      <w:r>
        <w:t xml:space="preserve">Correspondence between EXIOBASE and EUROSTAT HBS</w:t>
      </w:r>
      <w:bookmarkEnd w:id="32"/>
    </w:p>
    <w:p>
      <w:pPr>
        <w:pStyle w:val="FirstParagraph"/>
      </w:pPr>
      <w:r>
        <w:t xml:space="preserve">Table S4 shows which EUROSTAT HBS consumption category each EXIOBASE production sector corresponds to, along with our grouping of the EXIOBASE production sectors into the five aggregated final consumption categories we present in the main paper. The direct energy and carbon from households correspond to: heating/cooling (HH_HEAT) to CP045, mobility (HH_TRA) to CP072, and other (HH_OTHER) to CP05, respectively.</w:t>
      </w:r>
    </w:p>
    <w:p>
      <w:pPr>
        <w:pStyle w:val="BodyText"/>
      </w:pPr>
      <w:r>
        <w:rPr>
          <w:i/>
          <w:b/>
        </w:rPr>
        <w:t xml:space="preserve">Table S4: Correspondence between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3"/>
      </w:pPr>
      <w:bookmarkStart w:id="33" w:name="country-and-year-coverage"/>
      <w:r>
        <w:t xml:space="preserve">Country and year coverage</w:t>
      </w:r>
      <w:bookmarkEnd w:id="33"/>
    </w:p>
    <w:p>
      <w:pPr>
        <w:pStyle w:val="FirstParagraph"/>
      </w:pPr>
      <w:r>
        <w:t xml:space="preserve">The EXIOBASE version3.7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the necessary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i/>
          <w:b/>
        </w:rPr>
        <w:t xml:space="preserve">Table S5: Country and year coverage between EXIOBASE and the EUROSTAT HBS. Rows with black text show countries that are represented in EXIOBASE, and an</w:t>
      </w:r>
      <w:r>
        <w:rPr>
          <w:i/>
          <w:b/>
        </w:rPr>
        <w:t xml:space="preserve"> </w:t>
      </w:r>
      <w:r>
        <w:rPr>
          <w:i/>
          <w:b/>
        </w:rPr>
        <w:t xml:space="preserve">‘</w:t>
      </w:r>
      <w:r>
        <w:rPr>
          <w:i/>
          <w:b/>
        </w:rPr>
        <w:t xml:space="preserve">x</w:t>
      </w:r>
      <w:r>
        <w:rPr>
          <w:i/>
          <w:b/>
        </w:rPr>
        <w:t xml:space="preserve">’</w:t>
      </w:r>
      <w:r>
        <w:rPr>
          <w:i/>
          <w:b/>
        </w:rPr>
        <w:t xml:space="preserve"> </w:t>
      </w:r>
      <w:r>
        <w:rPr>
          <w:i/>
          <w:b/>
        </w:rPr>
        <w:t xml:space="preserve">for those years where EUROSTAT HBS data also exists for that country. Rows with red text show countries where EUROSTAT HBS data exists, but who are not represented individually in EXIOBASE (they are in</w:t>
      </w:r>
      <w:r>
        <w:rPr>
          <w:i/>
          <w:b/>
        </w:rPr>
        <w:t xml:space="preserve"> </w:t>
      </w:r>
      <w:r>
        <w:rPr>
          <w:i/>
          <w:b/>
        </w:rPr>
        <w:t xml:space="preserve">‘</w:t>
      </w:r>
      <w:r>
        <w:rPr>
          <w:i/>
          <w:b/>
        </w:rPr>
        <w:t xml:space="preserve">rest-of-world</w:t>
      </w:r>
      <w:r>
        <w:rPr>
          <w:i/>
          <w:b/>
        </w:rPr>
        <w:t xml:space="preserve">’</w:t>
      </w:r>
      <w:r>
        <w:rPr>
          <w:i/>
          <w:b/>
        </w:rPr>
        <w:t xml:space="preserve"> </w:t>
      </w:r>
      <w:r>
        <w:rPr>
          <w:i/>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4"/>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version3.7 in base price. Because we decided to keep the EXIOBASE production sector shares the same (and just stratify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i/>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i/>
          <w:b/>
        </w:rPr>
        <w:t xml:space="preserve">Table S7: 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stratify it by income quintile, we end up with the same stratification which will result in the same stratified footprint as before.</w:t>
      </w:r>
    </w:p>
    <w:p>
      <w:pPr>
        <w:pStyle w:val="BodyText"/>
      </w:pPr>
      <w:r>
        <w:rPr>
          <w:i/>
          <w:b/>
        </w:rPr>
        <w:t xml:space="preserve">Table S8: Identical to Table S2.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household-expenditure-deciles"/>
      <w:r>
        <w:t xml:space="preserve">European household expenditure deciles</w:t>
      </w:r>
      <w:bookmarkEnd w:id="35"/>
    </w:p>
    <w:p>
      <w:pPr>
        <w:pStyle w:val="FirstParagraph"/>
      </w:pPr>
      <w:r>
        <w:t xml:space="preserve">Each national income quintile has a household final demand expenditure, household energy footprint and household carbon footprint estimate allocated to it, which represents the average in the quintile, after these initial steps. Then, to calculate European household expenditure deciles, we first ranked all these national income quintiles (140 in total: 28 European countries x 5 national income quintiles each) according to their mean household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necessary EUROSTAT HBS data, i.e. no data per income quintile) and Luxembourg (no 2010 EUROSTAT HBS data), but includes the UK, Norway and Turkey.</w:t>
      </w:r>
    </w:p>
    <w:p>
      <w:pPr>
        <w:pStyle w:val="BodyText"/>
      </w:pPr>
      <w:r>
        <w:t xml:space="preserve">Each national income quintile is thus allocated to one of the 10 European expenditure deciles (some national income quintiles at the boundaries between deciles are split between two deciles). Figure S1 shows the population share of each country in our bottom 4 European expenditure deciles in 2015. A 100% share thus means that all 5 national income quintiles of that country fall within the bottom 4 European expenditure deciles. This does not imply that there are no high-income households in those countries, but because this method uses average expenditure data from the national income quintiles, the aggregation cuts off the lower and higher tails of the respective national expenditure distributions.</w:t>
      </w:r>
    </w:p>
    <w:p>
      <w:pPr>
        <w:pStyle w:val="CaptionedFigure"/>
      </w:pPr>
      <w:r>
        <w:drawing>
          <wp:inline>
            <wp:extent cx="5943600" cy="2971800"/>
            <wp:effectExtent b="0" l="0" r="0" t="0"/>
            <wp:docPr descr="Figure S1: Percentage of population in bottom 4 European expenditure deciles in 2015." title="" id="1" name="Picture"/>
            <a:graphic>
              <a:graphicData uri="http://schemas.openxmlformats.org/drawingml/2006/picture">
                <pic:pic>
                  <pic:nvPicPr>
                    <pic:cNvPr descr="../figures/unnamed-chunk-3-1.png" id="0" name="Picture"/>
                    <pic:cNvPicPr>
                      <a:picLocks noChangeArrowheads="1" noChangeAspect="1"/>
                    </pic:cNvPicPr>
                  </pic:nvPicPr>
                  <pic:blipFill>
                    <a:blip r:embed="rId36"/>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rPr>
          <w:i/>
          <w:b/>
        </w:rPr>
        <w:t xml:space="preserve">Figure S1: Percentage of population in bottom 4 European expenditure deciles in 2015.</w:t>
      </w:r>
    </w:p>
    <w:p>
      <w:pPr>
        <w:pStyle w:val="Heading2"/>
      </w:pPr>
      <w:bookmarkStart w:id="37" w:name="limitations"/>
      <w:r>
        <w:t xml:space="preserve">Limitations</w:t>
      </w:r>
      <w:bookmarkEnd w:id="37"/>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in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version3.7,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version3.7. This version assumes fixed product sales. Furthermore, because EXIOBASE version3.7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We also show 2010 results using the product-by-product version of EXIOBASE version3.7 in the final section of this SI document.</w:t>
      </w:r>
    </w:p>
    <w:p>
      <w:pPr>
        <w:pStyle w:val="BodyText"/>
      </w:pPr>
      <w:r>
        <w:t xml:space="preserve">The correspondence between the EUROSTAT HBS COICOP consumption categories and the industry production sectors in EXIOBASE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stratifying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stratification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below, and some results in the last sections of this SI document. We also stay at a relatively aggregated level for our energy and carbon footprints, as our primary goal was to connect aspects of the aggregate European household environmental footprint distribution with the decarbonisation and minimum energy requirement scenarios. Work specifically investigating distributional aspects of the European carbon footprint, sometimes at a finer sectoral level than we do here, can be found in the refs.</w:t>
      </w:r>
      <w:r>
        <w:t xml:space="preserve"> </w:t>
      </w:r>
      <w:r>
        <w:t xml:space="preserve">(31)</w:t>
      </w:r>
      <w:r>
        <w:t xml:space="preserve">,</w:t>
      </w:r>
      <w:r>
        <w:t xml:space="preserve"> </w:t>
      </w:r>
      <w:r>
        <w:t xml:space="preserve">(32)</w:t>
      </w:r>
      <w:r>
        <w:t xml:space="preserve">,</w:t>
      </w:r>
      <w:r>
        <w:t xml:space="preserve"> </w:t>
      </w:r>
      <w:r>
        <w:t xml:space="preserve">(33)</w:t>
      </w:r>
      <w:r>
        <w:t xml:space="preserve"> </w:t>
      </w:r>
      <w:r>
        <w:t xml:space="preserve">and</w:t>
      </w:r>
      <w:r>
        <w:t xml:space="preserve"> </w:t>
      </w:r>
      <w:r>
        <w:t xml:space="preserve">(34)</w:t>
      </w:r>
      <w:r>
        <w:t xml:space="preserve">.</w:t>
      </w:r>
    </w:p>
    <w:p>
      <w:pPr>
        <w:pStyle w:val="BodyText"/>
      </w:pPr>
      <w:r>
        <w:t xml:space="preserve">Finally, the main limitation of the European expenditure deciles is the fact that they use average expenditure data from the national income quintiles. This aggregation cuts off the lower and higher tails of the respective national expenditure distributions. Our constructed European expenditure deciles thus likely</w:t>
      </w:r>
      <w:r>
        <w:t xml:space="preserve"> </w:t>
      </w:r>
      <w:r>
        <w:rPr>
          <w:i/>
        </w:rPr>
        <w:t xml:space="preserve">under</w:t>
      </w:r>
      <w:r>
        <w:t xml:space="preserve">estimate European expenditure inequality. Also, when calculating energy and carbon intensities per harmonized European expenditure decile, and comparing them across deciles, one aspect not harmonized is the possible effect of different national energy subsidy levels. Varying energy subsidy levels between countries could play a role in the different energy and carbon intensities we observe per European expenditure deciles</w:t>
      </w:r>
      <w:r>
        <w:t xml:space="preserve"> </w:t>
      </w:r>
      <w:r>
        <w:t xml:space="preserve">(35)</w:t>
      </w:r>
      <w:r>
        <w:t xml:space="preserve">.</w:t>
      </w:r>
    </w:p>
    <w:p>
      <w:pPr>
        <w:pStyle w:val="Heading3"/>
      </w:pPr>
      <w:bookmarkStart w:id="38" w:name="Xc9cc011df3901412df578718cd85618f03e30b3"/>
      <w:r>
        <w:t xml:space="preserve">Alternative method for income-stratified national household energy and carbon footprints</w:t>
      </w:r>
      <w:bookmarkEnd w:id="38"/>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stratified by income quantile. The alternative method is to keep the consumption category shares of total HBS expenditure the same as they are found in the HBS. This means taking the total sum of household final demand expenditure from the EE-MRIO and stratifying it first based on the share of each income quantile’s consumption expenditure of the total consumption expenditure as found in the HBS, before stratifying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stratified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stratify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11"/>
          <w:ilvl w:val="0"/>
        </w:numPr>
      </w:pPr>
      <w:r>
        <w:t xml:space="preserve">Trade and Transport margin tables, Taxes less Subsidies tables (National Accounts &gt; Annual National Accounts &gt; Supply and Use Tables &gt; SUT Indicators):</w:t>
      </w:r>
      <w:r>
        <w:t xml:space="preserve"> </w:t>
      </w:r>
      <w:hyperlink r:id="rId39">
        <w:r>
          <w:rPr>
            <w:rStyle w:val="Hyperlink"/>
          </w:rPr>
          <w:t xml:space="preserve">https://stats.oecd.org/index.aspx?queryid=84864#</w:t>
        </w:r>
      </w:hyperlink>
      <w:r>
        <w:t xml:space="preserve"> </w:t>
      </w:r>
      <w:r>
        <w:t xml:space="preserve">(36)</w:t>
      </w:r>
    </w:p>
    <w:p>
      <w:pPr>
        <w:numPr>
          <w:numId w:val="1012"/>
          <w:ilvl w:val="1"/>
        </w:numPr>
      </w:pPr>
      <w:r>
        <w:t xml:space="preserve">Trade and transport margins in percentage of final consumption expenditure by households: Export as text file (csv) - customize to include years 2005 to 2015 [accessed on: 15-04-2020]</w:t>
      </w:r>
    </w:p>
    <w:p>
      <w:pPr>
        <w:numPr>
          <w:numId w:val="1012"/>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i/>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i/>
          <w:b/>
        </w:rPr>
        <w:t xml:space="preserve">Table S10: Income 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income quintile in base price and new sectoral pm values in base price (</w:t>
      </w:r>
      <w:r>
        <w:rPr>
          <w:i/>
          <w:b/>
        </w:rPr>
        <w:t xml:space="preserve">‘</w:t>
      </w:r>
      <w:r>
        <w:rPr>
          <w:i/>
          <w:b/>
        </w:rPr>
        <w:t xml:space="preserve">pps hh bp</w:t>
      </w:r>
      <w:r>
        <w:rPr>
          <w:i/>
          <w:b/>
        </w:rPr>
        <w:t xml:space="preserve">’</w:t>
      </w:r>
      <w:r>
        <w:rPr>
          <w:i/>
          <w:b/>
        </w:rPr>
        <w:t xml:space="preserve"> </w:t>
      </w:r>
      <w:r>
        <w:rPr>
          <w:i/>
          <w:b/>
        </w:rPr>
        <w:t xml:space="preserve">is the sum of</w:t>
      </w:r>
      <w:r>
        <w:rPr>
          <w:i/>
          <w:b/>
        </w:rPr>
        <w:t xml:space="preserve"> </w:t>
      </w:r>
      <w:r>
        <w:rPr>
          <w:i/>
          <w:b/>
        </w:rPr>
        <w:t xml:space="preserve">‘</w:t>
      </w:r>
      <w:r>
        <w:rPr>
          <w:i/>
          <w:b/>
        </w:rPr>
        <w:t xml:space="preserve">s1 (pps hh bp)</w:t>
      </w:r>
      <w:r>
        <w:rPr>
          <w:i/>
          <w:b/>
        </w:rPr>
        <w:t xml:space="preserve">’</w:t>
      </w:r>
      <w:r>
        <w:rPr>
          <w:i/>
          <w:b/>
        </w:rPr>
        <w:t xml:space="preserve"> </w:t>
      </w:r>
      <w:r>
        <w:rPr>
          <w:i/>
          <w:b/>
        </w:rPr>
        <w:t xml:space="preserve">and</w:t>
      </w:r>
      <w:r>
        <w:rPr>
          <w:i/>
          <w:b/>
        </w:rPr>
        <w:t xml:space="preserve"> </w:t>
      </w:r>
      <w:r>
        <w:rPr>
          <w:i/>
          <w:b/>
        </w:rPr>
        <w:t xml:space="preserve">‘</w:t>
      </w:r>
      <w:r>
        <w:rPr>
          <w:i/>
          <w:b/>
        </w:rPr>
        <w:t xml:space="preserve">s2 (pps hh bp)</w:t>
      </w:r>
      <w:r>
        <w:rPr>
          <w:i/>
          <w:b/>
        </w:rPr>
        <w:t xml:space="preserve">’</w:t>
      </w:r>
      <w:r>
        <w:rPr>
          <w:i/>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i/>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stratified by income quintile.</w:t>
      </w:r>
    </w:p>
    <w:p>
      <w:pPr>
        <w:pStyle w:val="BodyText"/>
      </w:pPr>
      <w:r>
        <w:rPr>
          <w:i/>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stratified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i/>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0" w:name="supplementary-results"/>
      <w:r>
        <w:t xml:space="preserve">Supplementary Results</w:t>
      </w:r>
      <w:bookmarkEnd w:id="40"/>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(version3.7,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the alternative methodology and EXIOBASE industry-by-industry version.</w:t>
      </w:r>
    </w:p>
    <w:p>
      <w:pPr>
        <w:pStyle w:val="Heading2"/>
      </w:pPr>
      <w:bookmarkStart w:id="41" w:name="X8ab64a1c4293e2b6cca0857d4ded26fd043ee47"/>
      <w:r>
        <w:t xml:space="preserve">Year 2005, using main method, EXIOBASE industry-by-industry</w:t>
      </w:r>
      <w:bookmarkEnd w:id="41"/>
    </w:p>
    <w:p>
      <w:pPr>
        <w:pStyle w:val="FirstParagraph"/>
      </w:pPr>
      <w:r>
        <w:t xml:space="preserve">In 2005, total household final demand expenditure was 5.0359611 trn€, the energy footprint 102.7166541 EJ, and the carbon footprint 4365.7483981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carbon footprint from 211.1 MtCO2eq to 756.9 MtCO2eq (or 6.4 tCO2eq/ae to 22.9 tCO2eq/ae). The average energy intensity of consumption was 39.3 MJ/€ in the bottom decile and 16.5 MJ/€ in the top decile. The carbon intensity of energy was 57.2 gCO2eq/TJ in the bottom decile, and 39.6 gCO2eq/TJ in the top decile.</w:t>
      </w:r>
    </w:p>
    <w:p>
      <w:pPr>
        <w:pStyle w:val="CaptionedFigure"/>
      </w:pPr>
      <w:r>
        <w:drawing>
          <wp:inline>
            <wp:extent cx="5943600" cy="3962400"/>
            <wp:effectExtent b="0" l="0" r="0" t="0"/>
            <wp:docPr descr="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3" w:name="X5d9efcd36e4367972a52fe6015f056da2f63880"/>
      <w:r>
        <w:t xml:space="preserve">Year 2010, using main method, EXIOBASE industry-by-industry</w:t>
      </w:r>
      <w:bookmarkEnd w:id="43"/>
    </w:p>
    <w:p>
      <w:pPr>
        <w:pStyle w:val="FirstParagraph"/>
      </w:pPr>
      <w:r>
        <w:t xml:space="preserve">In 2010, total household final demand expenditure was 5.6465553 trn€, the energy footprint 97.5739468 EJ, and the carbon footprint 4090.5716883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carbon footprint from 247.8 MtCO2eq to 689.6 MtCO2eq (or 7.6 tCO2eq/ae to 21.2 tCO2eq/ae). The average energy intensity of consumption was 29.9 MJ/€ in the bottom decile and 14.3 MJ/€ in the top decile. The carbon intensity of energy was 54.3 gCO2eq/TJ in the bottom decile, and 42.1 gCO2eq/TJ in the top decile.</w:t>
      </w:r>
    </w:p>
    <w:p>
      <w:pPr>
        <w:pStyle w:val="CaptionedFigure"/>
      </w:pPr>
      <w:r>
        <w:drawing>
          <wp:inline>
            <wp:extent cx="5943600" cy="3962400"/>
            <wp:effectExtent b="0" l="0" r="0" t="0"/>
            <wp:docPr descr="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5" w:name="X887914c40d3a64d6bed53f1a003de54650ba309"/>
      <w:r>
        <w:t xml:space="preserve">Year 2010, using main method, EXIOBASE product-by-product</w:t>
      </w:r>
      <w:bookmarkEnd w:id="45"/>
    </w:p>
    <w:p>
      <w:pPr>
        <w:pStyle w:val="FirstParagraph"/>
      </w:pPr>
      <w:r>
        <w:t xml:space="preserve">In 2010 but using the product-by-product version of EXIOBASE, total household final demand expenditure was 5.5781797 trn€, the energy footprint 94.6093679 EJ, and the carbon footprint 3957.4699948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carbon footprint from 202.9 MtCO2eq to 670.4 MtCO2eq (or 6.2 tCO2eq/ae to 20.6 tCO2eq/ae). The average energy intensity of consumption was 25.9 MJ/€ in the bottom decile and 14.2 MJ/€ in the top decile. The carbon intensity of energy was 51.9 gCO2eq/TJ in the bottom decile, and 41.8 gCO2eq/TJ in the top decile.</w:t>
      </w:r>
    </w:p>
    <w:p>
      <w:pPr>
        <w:pStyle w:val="CaptionedFigure"/>
      </w:pPr>
      <w:r>
        <w:drawing>
          <wp:inline>
            <wp:extent cx="5943600" cy="3962400"/>
            <wp:effectExtent b="0" l="0" r="0" t="0"/>
            <wp:docPr descr="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7" w:name="X0b073eea84b9d44b8e1ae7d47bb00d31b889183"/>
      <w:r>
        <w:t xml:space="preserve">Year 2015, using alternative method, EXIOBASE industry-by-industry</w:t>
      </w:r>
      <w:bookmarkEnd w:id="47"/>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5-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1"/>
      </w:pPr>
      <w:bookmarkStart w:id="49" w:name="units-of-analysis"/>
      <w:r>
        <w:t xml:space="preserve">Units of analysis</w:t>
      </w:r>
      <w:bookmarkEnd w:id="49"/>
    </w:p>
    <w:p>
      <w:pPr>
        <w:pStyle w:val="FirstParagraph"/>
      </w:pPr>
      <w:r>
        <w:t xml:space="preserve">Through the main paper we use household per adult equivalent as our unit of analysis, following the EUROSTAT HBS. This meant that we adjusted decarbonisation scenario final energy numbers from total per capita to household per adult equivalent to better compare them with our environmental footprint estimates. We adjusted them for 1) the household share of the total footprint, and 2) the adult equivalent share of the total population.</w:t>
      </w:r>
    </w:p>
    <w:p>
      <w:pPr>
        <w:pStyle w:val="BodyText"/>
      </w:pPr>
      <w:r>
        <w:t xml:space="preserve">As a numerical example, we adjust a total final energy of 53 GJ per capita from the Low Energy Demand (LED) scenario (Grubler et al. (2018)</w:t>
      </w:r>
      <w:r>
        <w:t xml:space="preserve"> </w:t>
      </w:r>
      <w:r>
        <w:t xml:space="preserve">(37)</w:t>
      </w:r>
      <w:r>
        <w:t xml:space="preserve">), first by the household share of the total European energy footprint in 2015 (around 0.63,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adjusted to a household final energy of 53 GJ/adult equivalent in Europe ((53 total GJ/capita * 0.63 household share of total footprint)/0.63 adult equivalent share of total population = 53 household GJ/adult equivalent).</w:t>
      </w:r>
    </w:p>
    <w:p>
      <w:pPr>
        <w:pStyle w:val="BodyText"/>
      </w:pPr>
      <w:r>
        <w:t xml:space="preserve">The decarbonisation scenario final energy numbers in 2050, presented in Table 1 of the main paper, were originally in total GJ per capita: 94 GJ/capita (SSP2-1.9), 87 GJ/capita (SSP1-1.9), 84 GJ/capita (IEA ETP B2DS), 64 GJ/capita (GEA-efficiency), 53 GJ/capita (LED), and 15.3 GJ/capita (DLE). Because of the similar relative shares of the household part of the total European energy footprint (around 0.63), and the adult equivalent share of the total population in our sample (also around 0.63), these final energy numbers end up close to the same when adjusted to household per adult equivalent. The original numbers for the SSP and GEA-efficiency scenarios are from the International Institute for Applied Systems Analysis (IIASA) scenario database</w:t>
      </w:r>
      <w:r>
        <w:t xml:space="preserve"> </w:t>
      </w:r>
      <w:r>
        <w:t xml:space="preserve">(38)</w:t>
      </w:r>
      <w:r>
        <w:t xml:space="preserve"> </w:t>
      </w:r>
      <w:r>
        <w:t xml:space="preserve">(39)</w:t>
      </w:r>
      <w:r>
        <w:t xml:space="preserve">. The SSP total GJ/capita numbers are for the OECD region, while the GEA-efficiency total GJ/capita number is for their</w:t>
      </w:r>
      <w:r>
        <w:t xml:space="preserve"> </w:t>
      </w:r>
      <w:r>
        <w:t xml:space="preserve">‘</w:t>
      </w:r>
      <w:r>
        <w:t xml:space="preserve">West EU</w:t>
      </w:r>
      <w:r>
        <w:t xml:space="preserve">’</w:t>
      </w:r>
      <w:r>
        <w:t xml:space="preserve"> </w:t>
      </w:r>
      <w:r>
        <w:t xml:space="preserve">region. The SSP numbers are from the MESSAGE-GLOBIOM model, and the GEA-efficiency number is from the MESSAGE model. The LED total GJ/capita number is from Grubler et al. (2018)</w:t>
      </w:r>
      <w:r>
        <w:t xml:space="preserve"> </w:t>
      </w:r>
      <w:r>
        <w:t xml:space="preserve">(37)</w:t>
      </w:r>
      <w:r>
        <w:t xml:space="preserve">, and the IEA ETP B2DS total GJ/capita number is from the Supplementary Table 27 in the supplementary information document of Grubler et al. (2018)</w:t>
      </w:r>
      <w:r>
        <w:t xml:space="preserve"> </w:t>
      </w:r>
      <w:r>
        <w:t xml:space="preserve">(37)</w:t>
      </w:r>
      <w:r>
        <w:t xml:space="preserve">. The LED and IEA ETP B2DS total GJ/capita numbers are both for the Global North region. We also refer in the main paper to the LED numbers for the Global South (20 total GJ/capita) and the world (27 total GJ/capita). Finally, the DLE number is one number for the world, and while they give a range of 13-18.4 total GJ/capita, we take their average of 15.3 total GJ/capita</w:t>
      </w:r>
      <w:r>
        <w:t xml:space="preserve"> </w:t>
      </w:r>
      <w:r>
        <w:t xml:space="preserve">(40)</w:t>
      </w:r>
      <w:r>
        <w:t xml:space="preserve">.</w:t>
      </w:r>
    </w:p>
    <w:p>
      <w:pPr>
        <w:pStyle w:val="BodyText"/>
      </w:pPr>
      <w:r>
        <w:t xml:space="preserve">Our European expenditure deciles were constructed having the exact same number of adult equivalents per decile. When comparing with external per capita numbers, however, there is not the same number of population per decile because of differences in non-adult-equivalent-normalized people per household between income quintiles per country, and between countries.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ratios to the adult equivalents from different countries making up each European expenditure decile, so we could estimate total population per European expenditure decile taking into account differences in household per capita between countries, but not between income quintiles within each country. Figure S6 shows these population estimates per European expenditure decile. We use this to re-estimate our energy footprint per European expenditure decile in per capita terms, and then re-create Figure 5 from the main paper (Figure S7 below) in per capita terms.</w:t>
      </w:r>
    </w:p>
    <w:p>
      <w:pPr>
        <w:pStyle w:val="CaptionedFigure"/>
      </w:pPr>
      <w:r>
        <w:drawing>
          <wp:inline>
            <wp:extent cx="4587290" cy="3669832"/>
            <wp:effectExtent b="0" l="0" r="0" t="0"/>
            <wp:docPr descr="Figure S6: Number of adult equivalents per European expenditure decile and estimated number of people per European expenditure decile." title="" id="1" name="Picture"/>
            <a:graphic>
              <a:graphicData uri="http://schemas.openxmlformats.org/drawingml/2006/picture">
                <pic:pic>
                  <pic:nvPicPr>
                    <pic:cNvPr descr="../figures/figureS6-1.png" id="0" name="Picture"/>
                    <pic:cNvPicPr>
                      <a:picLocks noChangeArrowheads="1" noChangeAspect="1"/>
                    </pic:cNvPicPr>
                  </pic:nvPicPr>
                  <pic:blipFill>
                    <a:blip r:embed="rId50"/>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i/>
          <w:b/>
        </w:rPr>
        <w:t xml:space="preserve">Figure S6: Number of adult equivalents per European expenditure decile and estimated number of people per European expenditure decile.</w:t>
      </w:r>
    </w:p>
    <w:p>
      <w:pPr>
        <w:pStyle w:val="Heading2"/>
      </w:pPr>
      <w:bookmarkStart w:id="51" w:name="Xf329215321af9ee65f150ab66003812d0079232"/>
      <w:r>
        <w:t xml:space="preserve">Figure 5 from main paper in household final energy per capita</w:t>
      </w:r>
      <w:bookmarkEnd w:id="51"/>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adjust the decarbonisation scenario final energy numbers from total GJ per capita to household GJ per capita, so, for example, 53 total GJ/capita becomes: 53 * 0.63 = 33 household GJ/capita.</w:t>
      </w:r>
    </w:p>
    <w:p>
      <w:pPr>
        <w:pStyle w:val="BodyText"/>
      </w:pPr>
      <w:r>
        <w:drawing>
          <wp:inline>
            <wp:extent cx="5943600" cy="2971800"/>
            <wp:effectExtent b="0" l="0" r="0" t="0"/>
            <wp:docPr descr="" title="" id="1" name="Picture"/>
            <a:graphic>
              <a:graphicData uri="http://schemas.openxmlformats.org/drawingml/2006/picture">
                <pic:pic>
                  <pic:nvPicPr>
                    <pic:cNvPr descr="../figures/unnamed-chunk-7-1.png" id="0" name="Picture"/>
                    <pic:cNvPicPr>
                      <a:picLocks noChangeArrowheads="1" noChangeAspect="1"/>
                    </pic:cNvPicPr>
                  </pic:nvPicPr>
                  <pic:blipFill>
                    <a:blip r:embed="rId52"/>
                    <a:stretch>
                      <a:fillRect/>
                    </a:stretch>
                  </pic:blipFill>
                  <pic:spPr bwMode="auto">
                    <a:xfrm>
                      <a:off x="0" y="0"/>
                      <a:ext cx="5943600" cy="2971800"/>
                    </a:xfrm>
                    <a:prstGeom prst="rect">
                      <a:avLst/>
                    </a:prstGeom>
                    <a:noFill/>
                    <a:ln w="9525">
                      <a:noFill/>
                      <a:headEnd/>
                      <a:tailEnd/>
                    </a:ln>
                  </pic:spPr>
                </pic:pic>
              </a:graphicData>
            </a:graphic>
          </wp:inline>
        </w:drawing>
      </w:r>
    </w:p>
    <w:p>
      <w:r>
        <w:br w:type="page"/>
      </w:r>
    </w:p>
    <w:p>
      <w:pPr>
        <w:pStyle w:val="Heading1"/>
      </w:pPr>
      <w:bookmarkStart w:id="53" w:name="references"/>
      <w:r>
        <w:t xml:space="preserve">References</w:t>
      </w:r>
      <w:bookmarkEnd w:id="53"/>
    </w:p>
    <w:bookmarkStart w:id="126" w:name="refs"/>
    <w:bookmarkStart w:id="54" w:name="ref-miller_input-output_1985"/>
    <w:p>
      <w:pPr>
        <w:pStyle w:val="Bibliography"/>
      </w:pPr>
      <w:r>
        <w:t xml:space="preserve">1. Miller RE, Blair PD. Input-output analysis: Foundations and extensions. Englewood Cliffs, N.J: Prentice-Hall; 1985.</w:t>
      </w:r>
      <w:r>
        <w:t xml:space="preserve"> </w:t>
      </w:r>
    </w:p>
    <w:bookmarkEnd w:id="54"/>
    <w:bookmarkStart w:id="56" w:name="ref-stadler_exiobase_2018"/>
    <w:p>
      <w:pPr>
        <w:pStyle w:val="Bibliography"/>
      </w:pPr>
      <w:r>
        <w:t xml:space="preserve">2.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5">
        <w:r>
          <w:rPr>
            <w:rStyle w:val="Hyperlink"/>
          </w:rPr>
          <w:t xml:space="preserve">https://onlinelibrary.wiley.com/doi/abs/10.1111/jiec.12715</w:t>
        </w:r>
      </w:hyperlink>
    </w:p>
    <w:bookmarkEnd w:id="56"/>
    <w:bookmarkStart w:id="57" w:name="ref-stadler_exiobase_2019"/>
    <w:p>
      <w:pPr>
        <w:pStyle w:val="Bibliography"/>
      </w:pPr>
      <w:r>
        <w:t xml:space="preserve">3. Stadler K, Wood R, Bulavskaya T, Södersten C-J, Simas M, Schmidt S, et al. EXIOBASE 3 [Internet]. Zenodo; 2019 [cited 2021 Jan 20]. Available from:</w:t>
      </w:r>
      <w:r>
        <w:t xml:space="preserve"> </w:t>
      </w:r>
      <w:hyperlink r:id="rId22">
        <w:r>
          <w:rPr>
            <w:rStyle w:val="Hyperlink"/>
          </w:rPr>
          <w:t xml:space="preserve">https://zenodo.org/record/3583071#.XjC7kSN4wpY</w:t>
        </w:r>
      </w:hyperlink>
    </w:p>
    <w:bookmarkEnd w:id="57"/>
    <w:bookmarkStart w:id="58" w:name="ref-eurostat_database_nodate"/>
    <w:p>
      <w:pPr>
        <w:pStyle w:val="Bibliography"/>
      </w:pPr>
      <w:r>
        <w:t xml:space="preserve">4. Eurostat. Database - Household budget surveys - Eurostat [Internet]. [cited 2021 Jan 20]. Available from:</w:t>
      </w:r>
      <w:r>
        <w:t xml:space="preserve"> </w:t>
      </w:r>
      <w:hyperlink r:id="rId23">
        <w:r>
          <w:rPr>
            <w:rStyle w:val="Hyperlink"/>
          </w:rPr>
          <w:t xml:space="preserve">https://ec.europa.eu/eurostat/web/household-budget-surveys/database</w:t>
        </w:r>
      </w:hyperlink>
    </w:p>
    <w:bookmarkEnd w:id="58"/>
    <w:bookmarkStart w:id="60" w:name="ref-r_core_team_r:_2020"/>
    <w:p>
      <w:pPr>
        <w:pStyle w:val="Bibliography"/>
      </w:pPr>
      <w:r>
        <w:t xml:space="preserve">5. R Core Team. R: A Language and Environment for Statistical Computing [Internet]. Vienna, Austria: R Foundation for Statistical Computing; 2020. Available from:</w:t>
      </w:r>
      <w:r>
        <w:t xml:space="preserve"> </w:t>
      </w:r>
      <w:hyperlink r:id="rId59">
        <w:r>
          <w:rPr>
            <w:rStyle w:val="Hyperlink"/>
          </w:rPr>
          <w:t xml:space="preserve">https://www.R-project.org/</w:t>
        </w:r>
      </w:hyperlink>
    </w:p>
    <w:bookmarkEnd w:id="60"/>
    <w:bookmarkStart w:id="62" w:name="ref-wickham_welcome_2019"/>
    <w:p>
      <w:pPr>
        <w:pStyle w:val="Bibliography"/>
      </w:pPr>
      <w:r>
        <w:t xml:space="preserve">6. Wickham H, Averick M, Bryan J, Chang W, McGowan LD, François R, et al. Welcome to the Tidyverse. Journal of Open Source Software [Internet]. 2019 Nov [cited 2021 Feb 1];4(43):1686. Available from:</w:t>
      </w:r>
      <w:r>
        <w:t xml:space="preserve"> </w:t>
      </w:r>
      <w:hyperlink r:id="rId61">
        <w:r>
          <w:rPr>
            <w:rStyle w:val="Hyperlink"/>
          </w:rPr>
          <w:t xml:space="preserve">https://joss.theoj.org/papers/10.21105/joss.01686</w:t>
        </w:r>
      </w:hyperlink>
    </w:p>
    <w:bookmarkEnd w:id="62"/>
    <w:bookmarkStart w:id="64" w:name="ref-firke_janitor:_2021"/>
    <w:p>
      <w:pPr>
        <w:pStyle w:val="Bibliography"/>
      </w:pPr>
      <w:r>
        <w:t xml:space="preserve">7. Firke S, Denney B, Haid C, Knight R, Grosser M, Zadra J. Janitor: Simple Tools for Examining and Cleaning Dirty Data [Internet]. 2021 [cited 2021 Feb 1]. Available from:</w:t>
      </w:r>
      <w:r>
        <w:t xml:space="preserve"> </w:t>
      </w:r>
      <w:hyperlink r:id="rId63">
        <w:r>
          <w:rPr>
            <w:rStyle w:val="Hyperlink"/>
          </w:rPr>
          <w:t xml:space="preserve">https://CRAN.R-project.org/package=janitor</w:t>
        </w:r>
      </w:hyperlink>
    </w:p>
    <w:bookmarkEnd w:id="64"/>
    <w:bookmarkStart w:id="66" w:name="ref-muller_here:_2020"/>
    <w:p>
      <w:pPr>
        <w:pStyle w:val="Bibliography"/>
      </w:pPr>
      <w:r>
        <w:t xml:space="preserve">8. Müller K, Bryan J. Here: A Simpler Way to Find Your Files [Internet]. 2020 [cited 2021 Feb 1]. Available from:</w:t>
      </w:r>
      <w:r>
        <w:t xml:space="preserve"> </w:t>
      </w:r>
      <w:hyperlink r:id="rId65">
        <w:r>
          <w:rPr>
            <w:rStyle w:val="Hyperlink"/>
          </w:rPr>
          <w:t xml:space="preserve">https://CRAN.R-project.org/package=here</w:t>
        </w:r>
      </w:hyperlink>
    </w:p>
    <w:bookmarkEnd w:id="66"/>
    <w:bookmarkStart w:id="68" w:name="ref-piburn_wbstats:_2020"/>
    <w:p>
      <w:pPr>
        <w:pStyle w:val="Bibliography"/>
      </w:pPr>
      <w:r>
        <w:t xml:space="preserve">9. Piburn J, UT-Battelle, LLC. Wbstats: Programmatic Access to Data and Statistics from the World Bank API [Internet]. 2020 [cited 2021 Feb 1]. Available from:</w:t>
      </w:r>
      <w:r>
        <w:t xml:space="preserve"> </w:t>
      </w:r>
      <w:hyperlink r:id="rId67">
        <w:r>
          <w:rPr>
            <w:rStyle w:val="Hyperlink"/>
          </w:rPr>
          <w:t xml:space="preserve">https://CRAN.R-project.org/package=wbstats</w:t>
        </w:r>
      </w:hyperlink>
    </w:p>
    <w:bookmarkEnd w:id="68"/>
    <w:bookmarkStart w:id="70" w:name="ref-buchta_isocodes:_2020"/>
    <w:p>
      <w:pPr>
        <w:pStyle w:val="Bibliography"/>
      </w:pPr>
      <w:r>
        <w:t xml:space="preserve">10. Buchta C, Hornik [aut K, cre. ISOcodes: Selected ISO Codes [Internet]. 2020 [cited 2021 Feb 1]. Available from:</w:t>
      </w:r>
      <w:r>
        <w:t xml:space="preserve"> </w:t>
      </w:r>
      <w:hyperlink r:id="rId69">
        <w:r>
          <w:rPr>
            <w:rStyle w:val="Hyperlink"/>
          </w:rPr>
          <w:t xml:space="preserve">https://CRAN.R-project.org/package=ISOcodes</w:t>
        </w:r>
      </w:hyperlink>
    </w:p>
    <w:bookmarkEnd w:id="70"/>
    <w:bookmarkStart w:id="72" w:name="ref-garnier_viridis:_2018"/>
    <w:p>
      <w:pPr>
        <w:pStyle w:val="Bibliography"/>
      </w:pPr>
      <w:r>
        <w:t xml:space="preserve">11. Garnier S, Ross N, Rudis B, Sciaini M, Scherer C. Viridis: Default Color Maps from ’matplotlib’ [Internet]. 2018 [cited 2021 Feb 1]. Available from:</w:t>
      </w:r>
      <w:r>
        <w:t xml:space="preserve"> </w:t>
      </w:r>
      <w:hyperlink r:id="rId71">
        <w:r>
          <w:rPr>
            <w:rStyle w:val="Hyperlink"/>
          </w:rPr>
          <w:t xml:space="preserve">https://CRAN.R-project.org/package=viridis</w:t>
        </w:r>
      </w:hyperlink>
    </w:p>
    <w:bookmarkEnd w:id="72"/>
    <w:bookmarkStart w:id="74" w:name="ref-rudis_hrbrthemes:_2020"/>
    <w:p>
      <w:pPr>
        <w:pStyle w:val="Bibliography"/>
      </w:pPr>
      <w:r>
        <w:t xml:space="preserve">12. Rudis B, Kennedy P, Reiner P, support) DW( axis, Adam X, Fonts) G(C&amp;TW, et al. Hrbrthemes: Additional Themes, Theme Components and Utilities for ’ggplot2’ [Internet]. 2020 [cited 2021 Feb 1]. Available from:</w:t>
      </w:r>
      <w:r>
        <w:t xml:space="preserve"> </w:t>
      </w:r>
      <w:hyperlink r:id="rId73">
        <w:r>
          <w:rPr>
            <w:rStyle w:val="Hyperlink"/>
          </w:rPr>
          <w:t xml:space="preserve">https://CRAN.R-project.org/package=hrbrthemes</w:t>
        </w:r>
      </w:hyperlink>
    </w:p>
    <w:bookmarkEnd w:id="74"/>
    <w:bookmarkStart w:id="76" w:name="ref-ram_wesanderson:_2018"/>
    <w:p>
      <w:pPr>
        <w:pStyle w:val="Bibliography"/>
      </w:pPr>
      <w:r>
        <w:t xml:space="preserve">13. Ram K, Wickham H, Richards C, Baggett A. Wesanderson: A Wes Anderson Palette Generator [Internet]. 2018 [cited 2021 Feb 1]. Available from:</w:t>
      </w:r>
      <w:r>
        <w:t xml:space="preserve"> </w:t>
      </w:r>
      <w:hyperlink r:id="rId75">
        <w:r>
          <w:rPr>
            <w:rStyle w:val="Hyperlink"/>
          </w:rPr>
          <w:t xml:space="preserve">https://CRAN.R-project.org/package=wesanderson</w:t>
        </w:r>
      </w:hyperlink>
    </w:p>
    <w:bookmarkEnd w:id="76"/>
    <w:bookmarkStart w:id="78" w:name="ref-hester_glue:_2020"/>
    <w:p>
      <w:pPr>
        <w:pStyle w:val="Bibliography"/>
      </w:pPr>
      <w:r>
        <w:t xml:space="preserve">14. Hester J. Glue: Interpreted String Literals [Internet]. 2020 [cited 2021 Feb 1]. Available from:</w:t>
      </w:r>
      <w:r>
        <w:t xml:space="preserve"> </w:t>
      </w:r>
      <w:hyperlink r:id="rId77">
        <w:r>
          <w:rPr>
            <w:rStyle w:val="Hyperlink"/>
          </w:rPr>
          <w:t xml:space="preserve">https://CRAN.R-project.org/package=glue</w:t>
        </w:r>
      </w:hyperlink>
    </w:p>
    <w:bookmarkEnd w:id="78"/>
    <w:bookmarkStart w:id="80" w:name="ref-wilke_ggridges:_2021"/>
    <w:p>
      <w:pPr>
        <w:pStyle w:val="Bibliography"/>
      </w:pPr>
      <w:r>
        <w:t xml:space="preserve">15. Wilke CO. Ggridges: Ridgeline Plots in ’ggplot2’ [Internet]. 2021 [cited 2021 Feb 1]. Available from:</w:t>
      </w:r>
      <w:r>
        <w:t xml:space="preserve"> </w:t>
      </w:r>
      <w:hyperlink r:id="rId79">
        <w:r>
          <w:rPr>
            <w:rStyle w:val="Hyperlink"/>
          </w:rPr>
          <w:t xml:space="preserve">https://CRAN.R-project.org/package=ggridges</w:t>
        </w:r>
      </w:hyperlink>
    </w:p>
    <w:bookmarkEnd w:id="80"/>
    <w:bookmarkStart w:id="82" w:name="ref-pedersen_patchwork:_2020"/>
    <w:p>
      <w:pPr>
        <w:pStyle w:val="Bibliography"/>
      </w:pPr>
      <w:r>
        <w:t xml:space="preserve">16. Pedersen TL. Patchwork: The Composer of Plots [Internet]. 2020 [cited 2021 Feb 1]. Available from:</w:t>
      </w:r>
      <w:r>
        <w:t xml:space="preserve"> </w:t>
      </w:r>
      <w:hyperlink r:id="rId81">
        <w:r>
          <w:rPr>
            <w:rStyle w:val="Hyperlink"/>
          </w:rPr>
          <w:t xml:space="preserve">https://CRAN.R-project.org/package=patchwork</w:t>
        </w:r>
      </w:hyperlink>
    </w:p>
    <w:bookmarkEnd w:id="82"/>
    <w:bookmarkStart w:id="84" w:name="ref-zhu_kableextra:_2020"/>
    <w:p>
      <w:pPr>
        <w:pStyle w:val="Bibliography"/>
      </w:pPr>
      <w:r>
        <w:t xml:space="preserve">17. Zhu H, Travison T, Tsai T, Beasley W, Xie Y, Yu G, et al. kableExtra: Construct Complex Table with ’kable’ and Pipe Syntax [Internet]. 2020 [cited 2021 Feb 1]. Available from:</w:t>
      </w:r>
      <w:r>
        <w:t xml:space="preserve"> </w:t>
      </w:r>
      <w:hyperlink r:id="rId83">
        <w:r>
          <w:rPr>
            <w:rStyle w:val="Hyperlink"/>
          </w:rPr>
          <w:t xml:space="preserve">https://CRAN.R-project.org/package=kableExtra</w:t>
        </w:r>
      </w:hyperlink>
    </w:p>
    <w:bookmarkEnd w:id="84"/>
    <w:bookmarkStart w:id="86" w:name="ref-wickham_readxl:_2019"/>
    <w:p>
      <w:pPr>
        <w:pStyle w:val="Bibliography"/>
      </w:pPr>
      <w:r>
        <w:t xml:space="preserve">18.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5">
        <w:r>
          <w:rPr>
            <w:rStyle w:val="Hyperlink"/>
          </w:rPr>
          <w:t xml:space="preserve">https://CRAN.R-project.org/package=readxl</w:t>
        </w:r>
      </w:hyperlink>
    </w:p>
    <w:bookmarkEnd w:id="86"/>
    <w:bookmarkStart w:id="88" w:name="ref-gohel_flextable:_2021"/>
    <w:p>
      <w:pPr>
        <w:pStyle w:val="Bibliography"/>
      </w:pPr>
      <w:r>
        <w:t xml:space="preserve">19. Gohel D, Fazilleau Q, output) MN( for docx, Robert T, footnotes) MB(, reference) AY( for bookdown cross, et al. Flextable: Functions for Tabular Reporting [Internet]. 2021 [cited 2021 Feb 1]. Available from:</w:t>
      </w:r>
      <w:r>
        <w:t xml:space="preserve"> </w:t>
      </w:r>
      <w:hyperlink r:id="rId87">
        <w:r>
          <w:rPr>
            <w:rStyle w:val="Hyperlink"/>
          </w:rPr>
          <w:t xml:space="preserve">https://CRAN.R-project.org/package=flextable</w:t>
        </w:r>
      </w:hyperlink>
    </w:p>
    <w:bookmarkEnd w:id="88"/>
    <w:bookmarkStart w:id="90" w:name="ref-south_rworldmap:_2016"/>
    <w:p>
      <w:pPr>
        <w:pStyle w:val="Bibliography"/>
      </w:pPr>
      <w:r>
        <w:t xml:space="preserve">20. South A. Rworldmap: Mapping Global Data [Internet]. 2016 [cited 2021 Feb 1]. Available from:</w:t>
      </w:r>
      <w:r>
        <w:t xml:space="preserve"> </w:t>
      </w:r>
      <w:hyperlink r:id="rId89">
        <w:r>
          <w:rPr>
            <w:rStyle w:val="Hyperlink"/>
          </w:rPr>
          <w:t xml:space="preserve">https://CRAN.R-project.org/package=rworldmap</w:t>
        </w:r>
      </w:hyperlink>
    </w:p>
    <w:bookmarkEnd w:id="90"/>
    <w:bookmarkStart w:id="92" w:name="ref-arnold_ggthemes:_2021"/>
    <w:p>
      <w:pPr>
        <w:pStyle w:val="Bibliography"/>
      </w:pPr>
      <w:r>
        <w:t xml:space="preserve">21. Arnold JB, Daroczi G, Werth B, Weitzner B, Kunst J, Auguie B, et al. Ggthemes: Extra Themes, Scales and Geoms for ’ggplot2’ [Internet]. 2021 [cited 2021 Feb 1]. Available from:</w:t>
      </w:r>
      <w:r>
        <w:t xml:space="preserve"> </w:t>
      </w:r>
      <w:hyperlink r:id="rId91">
        <w:r>
          <w:rPr>
            <w:rStyle w:val="Hyperlink"/>
          </w:rPr>
          <w:t xml:space="preserve">https://CRAN.R-project.org/package=ggthemes</w:t>
        </w:r>
      </w:hyperlink>
    </w:p>
    <w:bookmarkEnd w:id="92"/>
    <w:bookmarkStart w:id="93"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3"/>
    <w:bookmarkStart w:id="94" w:name="ref-eurostat_manual_2015"/>
    <w:p>
      <w:pPr>
        <w:pStyle w:val="Bibliography"/>
      </w:pPr>
      <w:r>
        <w:t xml:space="preserve">23. Eurostat. Manual for air emission accounts. 2015.</w:t>
      </w:r>
      <w:r>
        <w:t xml:space="preserve"> </w:t>
      </w:r>
    </w:p>
    <w:bookmarkEnd w:id="94"/>
    <w:bookmarkStart w:id="95" w:name="ref-eurostat_eurostat_2020"/>
    <w:p>
      <w:pPr>
        <w:pStyle w:val="Bibliography"/>
      </w:pPr>
      <w:r>
        <w:t xml:space="preserve">24. Eurostat. Eurostat - Data Explorer - Energy supply and use by NACE Rev. 2 activity [Internet]. 2020 [cited 2020 Aug 11]. Available from:</w:t>
      </w:r>
      <w:r>
        <w:t xml:space="preserve"> </w:t>
      </w:r>
      <w:hyperlink r:id="rId27">
        <w:r>
          <w:rPr>
            <w:rStyle w:val="Hyperlink"/>
          </w:rPr>
          <w:t xml:space="preserve">http://appsso.eurostat.ec.europa.eu/nui/show.do?dataset=env_ac_pefasu</w:t>
        </w:r>
      </w:hyperlink>
    </w:p>
    <w:bookmarkEnd w:id="95"/>
    <w:bookmarkStart w:id="96" w:name="ref-eurostat_eurostat_nodate"/>
    <w:p>
      <w:pPr>
        <w:pStyle w:val="Bibliography"/>
      </w:pPr>
      <w:r>
        <w:t xml:space="preserve">25. Eurostat. Eurostat - Data Explorer - Air emissions accounts by NACE Rev. 2 activity [Internet]. [cited 2021 Jan 20]. Available from:</w:t>
      </w:r>
      <w:r>
        <w:t xml:space="preserve"> </w:t>
      </w:r>
      <w:hyperlink r:id="rId28">
        <w:r>
          <w:rPr>
            <w:rStyle w:val="Hyperlink"/>
          </w:rPr>
          <w:t xml:space="preserve">https://appsso.eurostat.ec.europa.eu/nui/show.do?dataset=env_ac_ainah_r2&amp;lang=en</w:t>
        </w:r>
      </w:hyperlink>
    </w:p>
    <w:bookmarkEnd w:id="96"/>
    <w:bookmarkStart w:id="98"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7">
        <w:r>
          <w:rPr>
            <w:rStyle w:val="Hyperlink"/>
          </w:rPr>
          <w:t xml:space="preserve">https://ec.europa.eu/eurostat/documents/54431/1966394/HBS2015_Transmission_DOC_V3.2018_05_22.pdf</w:t>
        </w:r>
      </w:hyperlink>
    </w:p>
    <w:bookmarkEnd w:id="98"/>
    <w:bookmarkStart w:id="100"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9">
        <w:r>
          <w:rPr>
            <w:rStyle w:val="Hyperlink"/>
          </w:rPr>
          <w:t xml:space="preserve">https://appsso.eurostat.ec.europa.eu/nui/show.do?dataset=lfst_hhnhtych&amp;lang=en</w:t>
        </w:r>
      </w:hyperlink>
    </w:p>
    <w:bookmarkEnd w:id="100"/>
    <w:bookmarkStart w:id="102"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101">
        <w:r>
          <w:rPr>
            <w:rStyle w:val="Hyperlink"/>
          </w:rPr>
          <w:t xml:space="preserve">http://www.ssb.no/en/statbanken/statbank/table/10986/</w:t>
        </w:r>
      </w:hyperlink>
    </w:p>
    <w:bookmarkEnd w:id="102"/>
    <w:bookmarkStart w:id="104" w:name="ref-eurostat_eu_2020"/>
    <w:p>
      <w:pPr>
        <w:pStyle w:val="Bibliography"/>
      </w:pPr>
      <w:r>
        <w:t xml:space="preserve">29. Eurostat. EU Quality Report of the Household Budget Survey 2015 Wave [Internet]. 2020. Available from:</w:t>
      </w:r>
      <w:r>
        <w:t xml:space="preserve"> </w:t>
      </w:r>
      <w:hyperlink r:id="rId103">
        <w:r>
          <w:rPr>
            <w:rStyle w:val="Hyperlink"/>
          </w:rPr>
          <w:t xml:space="preserve">https://ec.europa.eu/eurostat/documents/54431/1966394/HBS_EU_QualityReport_2015.pdf/72d7e310-c415-7806-93cc-e3bc7a49b596</w:t>
        </w:r>
      </w:hyperlink>
    </w:p>
    <w:bookmarkEnd w:id="104"/>
    <w:bookmarkStart w:id="106" w:name="ref-moran_convergence_2014"/>
    <w:p>
      <w:pPr>
        <w:pStyle w:val="Bibliography"/>
      </w:pPr>
      <w:r>
        <w:t xml:space="preserve">30. Moran D, Wood R. Convergence Between the Eora, Wiod, Exiobase, and Openeu’s Consumption-Based Carbon Accounts. Economic Systems Research [Internet]. 2014 Jul [cited 2018 Aug 15];26(3):245–61. Available from:</w:t>
      </w:r>
      <w:r>
        <w:t xml:space="preserve"> </w:t>
      </w:r>
      <w:hyperlink r:id="rId105">
        <w:r>
          <w:rPr>
            <w:rStyle w:val="Hyperlink"/>
          </w:rPr>
          <w:t xml:space="preserve">https://doi.org/10.1080/09535314.2014.935298</w:t>
        </w:r>
      </w:hyperlink>
    </w:p>
    <w:bookmarkEnd w:id="106"/>
    <w:bookmarkStart w:id="108" w:name="ref-ivanova_unequal_2020"/>
    <w:p>
      <w:pPr>
        <w:pStyle w:val="Bibliography"/>
      </w:pPr>
      <w:r>
        <w:t xml:space="preserve">31. Ivanova D, Wood R. The unequal distribution of household carbon footprints in Europe and its link to sustainability. Global Sustainability [Internet]. 2020 [cited 2020 Jul 7];3. Available from:</w:t>
      </w:r>
      <w:r>
        <w:t xml:space="preserve"> </w:t>
      </w:r>
      <w:hyperlink r:id="rId107">
        <w:r>
          <w:rPr>
            <w:rStyle w:val="Hyperlink"/>
          </w:rPr>
          <w:t xml:space="preserve">https://www.cambridge.org/core/journals/global-sustainability/article/unequal-distribution-of-household-carbon-footprints-in-europe-and-its-link-to-sustainability/F1ED4F705AF1C6C1FCAD477398353DC2</w:t>
        </w:r>
      </w:hyperlink>
    </w:p>
    <w:bookmarkEnd w:id="108"/>
    <w:bookmarkStart w:id="110" w:name="ref-gore_t._confronting_2020"/>
    <w:p>
      <w:pPr>
        <w:pStyle w:val="Bibliography"/>
      </w:pPr>
      <w:r>
        <w:t xml:space="preserve">32. Gore, T., Alestig, M. Confronting carbon inequality in the European Union [Internet]. 2020 [cited 2021 Jan 21]. Available from:</w:t>
      </w:r>
      <w:r>
        <w:t xml:space="preserve"> </w:t>
      </w:r>
      <w:hyperlink r:id="rId109">
        <w:r>
          <w:rPr>
            <w:rStyle w:val="Hyperlink"/>
          </w:rPr>
          <w:t xml:space="preserve">https://www.oxfam.org/en/research/confronting-carbon-inequality-european-union</w:t>
        </w:r>
      </w:hyperlink>
    </w:p>
    <w:bookmarkEnd w:id="110"/>
    <w:bookmarkStart w:id="112" w:name="ref-sommer_carbon_2017"/>
    <w:p>
      <w:pPr>
        <w:pStyle w:val="Bibliography"/>
      </w:pPr>
      <w:r>
        <w:t xml:space="preserve">33. Sommer M, Kratena K. The Carbon Footprint of European Households and Income Distribution. Ecological Economics [Internet]. 2017 [cited 2020 Aug 12];136(C):62–72. Available from:</w:t>
      </w:r>
      <w:r>
        <w:t xml:space="preserve"> </w:t>
      </w:r>
      <w:hyperlink r:id="rId111">
        <w:r>
          <w:rPr>
            <w:rStyle w:val="Hyperlink"/>
          </w:rPr>
          <w:t xml:space="preserve">https://econpapers.repec.org/article/eeeecolec/v_3a136_3ay_3a2017_3ai_3ac_3ap_3a62-72.htm</w:t>
        </w:r>
      </w:hyperlink>
    </w:p>
    <w:bookmarkEnd w:id="112"/>
    <w:bookmarkStart w:id="114" w:name="ref-bianco_understanding_2019"/>
    <w:p>
      <w:pPr>
        <w:pStyle w:val="Bibliography"/>
      </w:pPr>
      <w:r>
        <w:t xml:space="preserve">34. Bianco V, Cascetta F, Marino A, Nardini S. Understanding energy consumption and carbon emissions in Europe: A focus on inequality issues. Energy [Internet]. 2019 Mar [cited 2020 Sep 28];170:120–30. Available from:</w:t>
      </w:r>
      <w:r>
        <w:t xml:space="preserve"> </w:t>
      </w:r>
      <w:hyperlink r:id="rId113">
        <w:r>
          <w:rPr>
            <w:rStyle w:val="Hyperlink"/>
          </w:rPr>
          <w:t xml:space="preserve">http://www.sciencedirect.com/science/article/pii/S0360544218324927</w:t>
        </w:r>
      </w:hyperlink>
    </w:p>
    <w:bookmarkEnd w:id="114"/>
    <w:bookmarkStart w:id="116" w:name="ref-sovacool_reviewing_2017"/>
    <w:p>
      <w:pPr>
        <w:pStyle w:val="Bibliography"/>
      </w:pPr>
      <w:r>
        <w:t xml:space="preserve">35. Sovacool BK. Reviewing, Reforming, and Rethinking Global Energy Subsidies: Towards a Political Economy Research Agenda. Ecological Economics [Internet]. 2017 May [cited 2021 Feb 12];135:150–63. Available from:</w:t>
      </w:r>
      <w:r>
        <w:t xml:space="preserve"> </w:t>
      </w:r>
      <w:hyperlink r:id="rId115">
        <w:r>
          <w:rPr>
            <w:rStyle w:val="Hyperlink"/>
          </w:rPr>
          <w:t xml:space="preserve">https://www.sciencedirect.com/science/article/pii/S0921800916303494</w:t>
        </w:r>
      </w:hyperlink>
    </w:p>
    <w:bookmarkEnd w:id="116"/>
    <w:bookmarkStart w:id="117" w:name="ref-oecd_sut_nodate"/>
    <w:p>
      <w:pPr>
        <w:pStyle w:val="Bibliography"/>
      </w:pPr>
      <w:r>
        <w:t xml:space="preserve">36. OECD. SUT Indicators : Trade and transport margins in percentage of total supply at purchasers’ prices [Internet]. [cited 2021 Jan 20]. Available from:</w:t>
      </w:r>
      <w:r>
        <w:t xml:space="preserve"> </w:t>
      </w:r>
      <w:hyperlink r:id="rId39">
        <w:r>
          <w:rPr>
            <w:rStyle w:val="Hyperlink"/>
          </w:rPr>
          <w:t xml:space="preserve">https://stats.oecd.org/index.aspx?queryid=84864#</w:t>
        </w:r>
      </w:hyperlink>
    </w:p>
    <w:bookmarkEnd w:id="117"/>
    <w:bookmarkStart w:id="119" w:name="ref-grubler_low_2018"/>
    <w:p>
      <w:pPr>
        <w:pStyle w:val="Bibliography"/>
      </w:pPr>
      <w:r>
        <w:t xml:space="preserve">37. Grubler A, Wilson C, Bento N, Boza-Kiss B, Krey V, McCollum D, et al. A low energy demand scenario for meeting the 1.5 °C target and sustainable development goals without negative emission technologies. Nature Energy [Internet]. 2018 Jun [cited 2018 Sep 3];3:517–25. Available from:</w:t>
      </w:r>
      <w:r>
        <w:t xml:space="preserve"> </w:t>
      </w:r>
      <w:hyperlink r:id="rId118">
        <w:r>
          <w:rPr>
            <w:rStyle w:val="Hyperlink"/>
          </w:rPr>
          <w:t xml:space="preserve">https://rdcu.be/SOJx</w:t>
        </w:r>
      </w:hyperlink>
    </w:p>
    <w:bookmarkEnd w:id="119"/>
    <w:bookmarkStart w:id="121" w:name="ref-riahi_shared_2017"/>
    <w:p>
      <w:pPr>
        <w:pStyle w:val="Bibliography"/>
      </w:pPr>
      <w:r>
        <w:t xml:space="preserve">38. Riahi K, Vuuren DP van, Kriegler E, Edmonds J, O’Neill BC, Fujimori S, et al. The Shared Socioeconomic Pathways and their energy, land use, and greenhouse gas emissions implications: An overview. Global Environmental Change [Internet]. 2017 Jan [cited 2021 Jan 20];42:153–68. Available from:</w:t>
      </w:r>
      <w:r>
        <w:t xml:space="preserve"> </w:t>
      </w:r>
      <w:hyperlink r:id="rId120">
        <w:r>
          <w:rPr>
            <w:rStyle w:val="Hyperlink"/>
          </w:rPr>
          <w:t xml:space="preserve">http://www.sciencedirect.com/science/article/pii/S0959378016300681</w:t>
        </w:r>
      </w:hyperlink>
    </w:p>
    <w:bookmarkEnd w:id="121"/>
    <w:bookmarkStart w:id="123" w:name="ref-gea_gea_nodate"/>
    <w:p>
      <w:pPr>
        <w:pStyle w:val="Bibliography"/>
      </w:pPr>
      <w:r>
        <w:t xml:space="preserve">39. GEA. GEA Scenario database (public) [Internet]. [cited 2021 Jan 20]. Available from:</w:t>
      </w:r>
      <w:r>
        <w:t xml:space="preserve"> </w:t>
      </w:r>
      <w:hyperlink r:id="rId122">
        <w:r>
          <w:rPr>
            <w:rStyle w:val="Hyperlink"/>
          </w:rPr>
          <w:t xml:space="preserve">https://www.iiasa.ac.at/web-apps/ene/geadb/dsd?Action=htmlpage&amp;page=about</w:t>
        </w:r>
      </w:hyperlink>
    </w:p>
    <w:bookmarkEnd w:id="123"/>
    <w:bookmarkStart w:id="125" w:name="ref-millward-hopkins_providing_2020"/>
    <w:p>
      <w:pPr>
        <w:pStyle w:val="Bibliography"/>
      </w:pPr>
      <w:r>
        <w:t xml:space="preserve">40. Millward-Hopkins J, Steinberger JK, Rao ND, Oswald Y. Providing decent living with minimum energy: A global scenario. Global Environmental Change [Internet]. 2020 Nov [cited 2020 Oct 9];65:102168. Available from:</w:t>
      </w:r>
      <w:r>
        <w:t xml:space="preserve"> </w:t>
      </w:r>
      <w:hyperlink r:id="rId124">
        <w:r>
          <w:rPr>
            <w:rStyle w:val="Hyperlink"/>
          </w:rPr>
          <w:t xml:space="preserve">http://www.sciencedirect.com/science/article/pii/S0959378020307512</w:t>
        </w:r>
      </w:hyperlink>
    </w:p>
    <w:bookmarkEnd w:id="125"/>
    <w:bookmarkEnd w:id="12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2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1"/>
  </w:num>
  <w:num w:numId="1002">
    <w:abstractNumId w:val="991"/>
  </w:num>
  <w:num w:numId="1003">
    <w:abstractNumId w:val="991"/>
  </w:num>
  <w:num w:numId="1004">
    <w:abstractNumId w:val="991"/>
  </w:num>
  <w:num w:numId="1005">
    <w:abstractNumId w:val="991"/>
  </w:num>
  <w:num w:numId="1006">
    <w:abstractNumId w:val="991"/>
  </w:num>
  <w:num w:numId="1007">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9">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0">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1">
    <w:abstractNumId w:val="991"/>
  </w:num>
  <w:num w:numId="101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36" Target="media/rId36.png" /><Relationship Type="http://schemas.openxmlformats.org/officeDocument/2006/relationships/image" Id="rId52" Target="media/rId52.png" /><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9" Target="https://CRAN.R-project.org/package=ISOcodes" TargetMode="External" /><Relationship Type="http://schemas.openxmlformats.org/officeDocument/2006/relationships/hyperlink" Id="rId87" Target="https://CRAN.R-project.org/package=flextable" TargetMode="External" /><Relationship Type="http://schemas.openxmlformats.org/officeDocument/2006/relationships/hyperlink" Id="rId79" Target="https://CRAN.R-project.org/package=ggridges" TargetMode="External" /><Relationship Type="http://schemas.openxmlformats.org/officeDocument/2006/relationships/hyperlink" Id="rId91" Target="https://CRAN.R-project.org/package=ggthemes" TargetMode="External" /><Relationship Type="http://schemas.openxmlformats.org/officeDocument/2006/relationships/hyperlink" Id="rId77" Target="https://CRAN.R-project.org/package=glue" TargetMode="External" /><Relationship Type="http://schemas.openxmlformats.org/officeDocument/2006/relationships/hyperlink" Id="rId65" Target="https://CRAN.R-project.org/package=here" TargetMode="External" /><Relationship Type="http://schemas.openxmlformats.org/officeDocument/2006/relationships/hyperlink" Id="rId73" Target="https://CRAN.R-project.org/package=hrbrthemes" TargetMode="External" /><Relationship Type="http://schemas.openxmlformats.org/officeDocument/2006/relationships/hyperlink" Id="rId63" Target="https://CRAN.R-project.org/package=janitor" TargetMode="External" /><Relationship Type="http://schemas.openxmlformats.org/officeDocument/2006/relationships/hyperlink" Id="rId83" Target="https://CRAN.R-project.org/package=kableExtra" TargetMode="External" /><Relationship Type="http://schemas.openxmlformats.org/officeDocument/2006/relationships/hyperlink" Id="rId81" Target="https://CRAN.R-project.org/package=patchwork" TargetMode="External" /><Relationship Type="http://schemas.openxmlformats.org/officeDocument/2006/relationships/hyperlink" Id="rId85" Target="https://CRAN.R-project.org/package=readxl" TargetMode="External" /><Relationship Type="http://schemas.openxmlformats.org/officeDocument/2006/relationships/hyperlink" Id="rId89" Target="https://CRAN.R-project.org/package=rworldmap" TargetMode="External" /><Relationship Type="http://schemas.openxmlformats.org/officeDocument/2006/relationships/hyperlink" Id="rId71" Target="https://CRAN.R-project.org/package=viridis" TargetMode="External" /><Relationship Type="http://schemas.openxmlformats.org/officeDocument/2006/relationships/hyperlink" Id="rId67" Target="https://CRAN.R-project.org/package=wbstats" TargetMode="External" /><Relationship Type="http://schemas.openxmlformats.org/officeDocument/2006/relationships/hyperlink" Id="rId75"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1" Target="https://joss.theoj.org/papers/10.21105/joss.01686" TargetMode="External" /><Relationship Type="http://schemas.openxmlformats.org/officeDocument/2006/relationships/hyperlink" Id="rId55"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9"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9" Target="https://CRAN.R-project.org/package=ISOcodes" TargetMode="External" /><Relationship Type="http://schemas.openxmlformats.org/officeDocument/2006/relationships/hyperlink" Id="rId87" Target="https://CRAN.R-project.org/package=flextable" TargetMode="External" /><Relationship Type="http://schemas.openxmlformats.org/officeDocument/2006/relationships/hyperlink" Id="rId79" Target="https://CRAN.R-project.org/package=ggridges" TargetMode="External" /><Relationship Type="http://schemas.openxmlformats.org/officeDocument/2006/relationships/hyperlink" Id="rId91" Target="https://CRAN.R-project.org/package=ggthemes" TargetMode="External" /><Relationship Type="http://schemas.openxmlformats.org/officeDocument/2006/relationships/hyperlink" Id="rId77" Target="https://CRAN.R-project.org/package=glue" TargetMode="External" /><Relationship Type="http://schemas.openxmlformats.org/officeDocument/2006/relationships/hyperlink" Id="rId65" Target="https://CRAN.R-project.org/package=here" TargetMode="External" /><Relationship Type="http://schemas.openxmlformats.org/officeDocument/2006/relationships/hyperlink" Id="rId73" Target="https://CRAN.R-project.org/package=hrbrthemes" TargetMode="External" /><Relationship Type="http://schemas.openxmlformats.org/officeDocument/2006/relationships/hyperlink" Id="rId63" Target="https://CRAN.R-project.org/package=janitor" TargetMode="External" /><Relationship Type="http://schemas.openxmlformats.org/officeDocument/2006/relationships/hyperlink" Id="rId83" Target="https://CRAN.R-project.org/package=kableExtra" TargetMode="External" /><Relationship Type="http://schemas.openxmlformats.org/officeDocument/2006/relationships/hyperlink" Id="rId81" Target="https://CRAN.R-project.org/package=patchwork" TargetMode="External" /><Relationship Type="http://schemas.openxmlformats.org/officeDocument/2006/relationships/hyperlink" Id="rId85" Target="https://CRAN.R-project.org/package=readxl" TargetMode="External" /><Relationship Type="http://schemas.openxmlformats.org/officeDocument/2006/relationships/hyperlink" Id="rId89" Target="https://CRAN.R-project.org/package=rworldmap" TargetMode="External" /><Relationship Type="http://schemas.openxmlformats.org/officeDocument/2006/relationships/hyperlink" Id="rId71" Target="https://CRAN.R-project.org/package=viridis" TargetMode="External" /><Relationship Type="http://schemas.openxmlformats.org/officeDocument/2006/relationships/hyperlink" Id="rId67" Target="https://CRAN.R-project.org/package=wbstats" TargetMode="External" /><Relationship Type="http://schemas.openxmlformats.org/officeDocument/2006/relationships/hyperlink" Id="rId75"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1" Target="https://joss.theoj.org/papers/10.21105/joss.01686" TargetMode="External" /><Relationship Type="http://schemas.openxmlformats.org/officeDocument/2006/relationships/hyperlink" Id="rId55"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9"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1.5°C compatible and just Europe: supplementary information</dc:title>
  <dc:creator>Ingram S. Jaccard1, Peter-Paul Pichler1, Johannes Többen1,3, and Helga Weisz1,2</dc:creator>
  <cp:keywords/>
  <dcterms:created xsi:type="dcterms:W3CDTF">2021-02-18T16:38:17Z</dcterms:created>
  <dcterms:modified xsi:type="dcterms:W3CDTF">2021-02-18T16:38:17Z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35 pages, 13 tables, 7 figures</vt:lpwstr>
  </property>
  <property fmtid="{D5CDD505-2E9C-101B-9397-08002B2CF9AE}" pid="5" name="csl">
    <vt:lpwstr>../templates/vancouver.csl</vt:lpwstr>
  </property>
  <property fmtid="{D5CDD505-2E9C-101B-9397-08002B2CF9AE}" pid="6" name="output">
    <vt:lpwstr/>
  </property>
</Properties>
</file>