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x pages, 13 tables, 7 figures</w:t>
      </w:r>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decomposing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 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 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National environmental footprints are often expressed in per capita terms; the national environmental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each production sector in EXIOBASE to a COICOP consumption category in the HBS. Because the share of each consumption category/production sector in the total amount of expenditure is not identical between the HBS and EXIOBASE, there are two possible methods for then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decomposition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have already been mapped to an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5a317650670242e320f8b269c838ae48be4f85a"/>
      <w:r>
        <w:t xml:space="preserve">Mapping between EXIOBASE and EUROSTAT HBS</w:t>
      </w:r>
      <w:bookmarkEnd w:id="32"/>
    </w:p>
    <w:p>
      <w:pPr>
        <w:pStyle w:val="FirstParagraph"/>
      </w:pPr>
      <w:r>
        <w:t xml:space="preserve">Table S4 shows which EUROSTAT HBS consumption category we mapped each EXIOBASE production sector to, along with our grouping of the EXIOBASE production sectors into the five aggregated final consumption categories we present in the main paper. HH_HEAT was mapped to CP045, HH_TRA was mapped to CP072, and HH_OTHER to CP05.</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To calculate European household expenditure deciles we first ranked the national income quintiles (140 in total: 28 European countries x 5 national income quintiles each) according to their mean household expenditure in PPS and then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Sx shows the population share of each country in our bottom 4 European expenditure deciles.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 There are likely some higher-income households, in those countries 100% within the bottom 4 European expenditure deciles, who are somewhere higher than the bottom 4 deciles which we do not capture with this method.</w:t>
      </w:r>
    </w:p>
    <w:p>
      <w:pPr>
        <w:pStyle w:val="CaptionedFigure"/>
      </w:pPr>
      <w:r>
        <w:drawing>
          <wp:inline>
            <wp:extent cx="5943600" cy="2971800"/>
            <wp:effectExtent b="0" l="0" r="0" t="0"/>
            <wp:docPr descr="Figure S1: Percentage of population in bottom 4 European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b/>
        </w:rPr>
        <w:t xml:space="preserve">Figure S1: Percentage of population in bottom 4 European deciles.</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an alternative methodology and EXIOBASE industry-by-industry version.</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are not the same number of population per decile because of differences in non-adult-equivalent-normalized people per household between income quintiles per country, and between countries. In Figure Sx we show an estimate of population per European expenditure decile. We use this to re-estimate our energy footprint per European expenditure decile in per capita terms, and then re-create Figure 5 from the main paper (Figure Sxx below) in per capita terms.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 to the adult equivalents from different countries making up each European expenditure decile, as so we could estimate total population per European expenditure decile taking into account differences in household per capita between countries, but not between income quintiles within each country. Figure Sx shows these population estimates per European expenditure decile.</w:t>
      </w:r>
    </w:p>
    <w:p>
      <w:pPr>
        <w:pStyle w:val="CaptionedFigure"/>
      </w:pPr>
      <w:r>
        <w:drawing>
          <wp:inline>
            <wp:extent cx="4587290" cy="3669832"/>
            <wp:effectExtent b="0" l="0" r="0" t="0"/>
            <wp:docPr descr="Figure S5:" title="" id="1" name="Picture"/>
            <a:graphic>
              <a:graphicData uri="http://schemas.openxmlformats.org/drawingml/2006/picture">
                <pic:pic>
                  <pic:nvPicPr>
                    <pic:cNvPr descr="../figures/figureSx-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S5:</w:t>
      </w:r>
    </w:p>
    <w:p>
      <w:pPr>
        <w:pStyle w:val="Heading2"/>
      </w:pPr>
      <w:bookmarkStart w:id="51" w:name="X124fb871f300c64c013f040631ac0f6f108334e"/>
      <w:r>
        <w:t xml:space="preserve">Figure 5 from manuscript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6:"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S6:</w:t>
      </w:r>
    </w:p>
    <w:p>
      <w:r>
        <w:br w:type="page"/>
      </w:r>
    </w:p>
    <w:p>
      <w:pPr>
        <w:pStyle w:val="Heading1"/>
      </w:pPr>
      <w:bookmarkStart w:id="53" w:name="references"/>
      <w:r>
        <w:t xml:space="preserve">References</w:t>
      </w:r>
      <w:bookmarkEnd w:id="53"/>
    </w:p>
    <w:bookmarkStart w:id="126" w:name="refs"/>
    <w:bookmarkStart w:id="55"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4">
        <w:r>
          <w:rPr>
            <w:rStyle w:val="Hyperlink"/>
          </w:rPr>
          <w:t xml:space="preserve">https://onlinelibrary.wiley.com/doi/abs/10.1111/jiec.12715</w:t>
        </w:r>
      </w:hyperlink>
    </w:p>
    <w:bookmarkEnd w:id="55"/>
    <w:bookmarkStart w:id="56" w:name="ref-stadler_exiobase_2019"/>
    <w:p>
      <w:pPr>
        <w:pStyle w:val="Bibliography"/>
      </w:pPr>
      <w:r>
        <w:t xml:space="preserve">2.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6"/>
    <w:bookmarkStart w:id="57" w:name="ref-eurostat_database_nodate"/>
    <w:p>
      <w:pPr>
        <w:pStyle w:val="Bibliography"/>
      </w:pPr>
      <w:r>
        <w:t xml:space="preserve">3.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7.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9.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10.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12.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13.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14.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15.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19.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iller_input-output_1985"/>
    <w:p>
      <w:pPr>
        <w:pStyle w:val="Bibliography"/>
      </w:pPr>
      <w:r>
        <w:t xml:space="preserve">21. Miller RE, Blair PD. Input-output analysis: Foundations and extensions. Englewood Cliffs, N.J: Prentice-Hall; 1985.</w:t>
      </w:r>
      <w:r>
        <w:t xml:space="preserve"> </w:t>
      </w:r>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2021-02-15T09:32:59Z</dcterms:created>
  <dcterms:modified xsi:type="dcterms:W3CDTF">2021-02-15T09:32:59Z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x pages, 13 tables, 7 figures</vt:lpwstr>
  </property>
  <property fmtid="{D5CDD505-2E9C-101B-9397-08002B2CF9AE}" pid="5" name="csl">
    <vt:lpwstr>../templates/vancouver.csl</vt:lpwstr>
  </property>
  <property fmtid="{D5CDD505-2E9C-101B-9397-08002B2CF9AE}" pid="6" name="output">
    <vt:lpwstr/>
  </property>
</Properties>
</file>