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w:t>
      </w:r>
    </w:p>
    <w:p>
      <w:pPr>
        <w:pStyle w:val="BodyText"/>
      </w:pPr>
      <w:r>
        <w:t xml:space="preserve">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mapping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have already been mapped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5a317650670242e320f8b269c838ae48be4f85a"/>
      <w:r>
        <w:t xml:space="preserve">Mapping between EXIOBASE and EUROSTAT HBS</w:t>
      </w:r>
      <w:bookmarkEnd w:id="32"/>
    </w:p>
    <w:p>
      <w:pPr>
        <w:pStyle w:val="FirstParagraph"/>
      </w:pPr>
      <w:r>
        <w:t xml:space="preserve">Table S4 shows which EUROSTAT HBS consumption category we mapped each EXIOBASE production sector to, along with our grouping of the EXIOBASE production sectors into the five aggregated final consumption categories we present in the main paper. The direct energy and carbon from households were mapped to: heating/cooling (HH_HEAT) was mapped to CP045, mobility (HH_TRA) was mapped to CP072, and other (HH_OTHER) to CP05, respectively.</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Each national income quintile has a household final demand expenditure, household energy footprint and household carbon footprint estimate allocated to it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expenditure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expenditure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expenditure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94.6093687 EJ, and the carbon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S7: Mean energy available for Europe in decarbonisation scenarios, positioned in option space between a range of minimum energy requirements and range of associated maximum inequality. All expenditure deciles have</w:t>
      </w:r>
      <w:r>
        <w:rPr>
          <w:b/>
        </w:rPr>
        <w:t xml:space="preserve"> </w:t>
      </w:r>
      <w:r>
        <w:rPr>
          <w:b/>
        </w:rPr>
        <w:t xml:space="preserve">‘</w:t>
      </w:r>
      <w:r>
        <w:rPr>
          <w:b/>
        </w:rPr>
        <w:t xml:space="preserve">best technology</w:t>
      </w:r>
      <w:r>
        <w:rPr>
          <w:b/>
        </w:rPr>
        <w:t xml:space="preserve">’</w:t>
      </w:r>
      <w:r>
        <w:rPr>
          <w:b/>
        </w:rPr>
        <w:t xml:space="preserve"> </w:t>
      </w:r>
      <w:r>
        <w:rPr>
          <w:b/>
        </w:rPr>
        <w:t xml:space="preserve">already. Unit of analysis is household GJ per capita. Final energy (in household GJ per capita in 2050) from two more SSP scenarios (which do not necessarily hit the 1.5°C target) are added from the IIASA scenario database</w:t>
      </w:r>
      <w:r>
        <w:rPr>
          <w:b/>
        </w:rPr>
        <w:t xml:space="preserve"> </w:t>
      </w:r>
      <w:r>
        <w:rPr>
          <w:b/>
        </w:rPr>
        <w:t xml:space="preserve">(38)</w:t>
      </w:r>
      <w:r>
        <w:rPr>
          <w:b/>
        </w:rPr>
        <w:t xml:space="preserve"> </w:t>
      </w:r>
      <w:r>
        <w:rPr>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2021-02-15T11:16:47Z</dcterms:created>
  <dcterms:modified xsi:type="dcterms:W3CDTF">2021-02-15T11:16:47Z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