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2.png" ContentType="image/png"/>
  <Override PartName="/word/media/rId44.png" ContentType="image/png"/>
  <Override PartName="/word/media/rId46.png" ContentType="image/png"/>
  <Override PartName="/word/media/rId48.png" ContentType="image/png"/>
  <Override PartName="/word/media/rId50.png" ContentType="image/png"/>
  <Override PartName="/word/media/rId36.png" ContentType="image/png"/>
  <Override PartName="/word/media/rId52.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The</w:t>
      </w:r>
      <w:r>
        <w:t xml:space="preserve"> </w:t>
      </w:r>
      <w:r>
        <w:t xml:space="preserve">energy</w:t>
      </w:r>
      <w:r>
        <w:t xml:space="preserve"> </w:t>
      </w:r>
      <w:r>
        <w:t xml:space="preserve">and</w:t>
      </w:r>
      <w:r>
        <w:t xml:space="preserve"> </w:t>
      </w:r>
      <w:r>
        <w:t xml:space="preserve">carbon</w:t>
      </w:r>
      <w:r>
        <w:t xml:space="preserve"> </w:t>
      </w:r>
      <w:r>
        <w:t xml:space="preserve">inequality</w:t>
      </w:r>
      <w:r>
        <w:t xml:space="preserve"> </w:t>
      </w:r>
      <w:r>
        <w:t xml:space="preserve">corridor</w:t>
      </w:r>
      <w:r>
        <w:t xml:space="preserve"> </w:t>
      </w:r>
      <w:r>
        <w:t xml:space="preserve">for</w:t>
      </w:r>
      <w:r>
        <w:t xml:space="preserve"> </w:t>
      </w:r>
      <w:r>
        <w:t xml:space="preserve">a</w:t>
      </w:r>
      <w:r>
        <w:t xml:space="preserve"> </w:t>
      </w:r>
      <w:r>
        <w:t xml:space="preserve">1.5°C</w:t>
      </w:r>
      <w:r>
        <w:t xml:space="preserve"> </w:t>
      </w:r>
      <w:r>
        <w:t xml:space="preserve">compatible</w:t>
      </w:r>
      <w:r>
        <w:t xml:space="preserve"> </w:t>
      </w:r>
      <w:r>
        <w:t xml:space="preserve">and</w:t>
      </w:r>
      <w:r>
        <w:t xml:space="preserve"> </w:t>
      </w:r>
      <w:r>
        <w:t xml:space="preserve">just</w:t>
      </w:r>
      <w:r>
        <w:t xml:space="preserve"> </w:t>
      </w:r>
      <w:r>
        <w:t xml:space="preserve">Europe:</w:t>
      </w:r>
      <w:r>
        <w:t xml:space="preserve"> </w:t>
      </w:r>
      <w:r>
        <w:t xml:space="preserve">supplementary</w:t>
      </w:r>
      <w:r>
        <w:t xml:space="preserve"> </w:t>
      </w:r>
      <w:r>
        <w:t xml:space="preserve">information</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rPr>
          <w:vertAlign w:val="superscript"/>
        </w:rPr>
        <w:t xml:space="preserve">,</w:t>
      </w:r>
      <w:r>
        <w:rPr>
          <w:vertAlign w:val="superscript"/>
        </w:rPr>
        <w:t xml:space="preserve">3</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r>
        <w:br/>
      </w:r>
      <w:r>
        <w:rPr>
          <w:vertAlign w:val="superscript"/>
        </w:rPr>
        <w:t xml:space="preserve">3</w:t>
      </w:r>
      <w:r>
        <w:t xml:space="preserve"> </w:t>
      </w:r>
      <w:r>
        <w:t xml:space="preserve">Gesellschaft für Wirtschaftliche Strukturforschung (GWS) mbH, Heinrichstraße 30, 49080 Osnabrück, Germany</w:t>
      </w:r>
    </w:p>
    <w:p>
      <w:pPr>
        <w:pStyle w:val="BodyText"/>
      </w:pPr>
      <w:r>
        <w:t xml:space="preserve">Content: 35 pages, 13 tables, 7 figures</w:t>
      </w:r>
    </w:p>
    <w:p>
      <w:pPr>
        <w:pStyle w:val="Compact"/>
        <w:numPr>
          <w:numId w:val="1001"/>
          <w:ilvl w:val="0"/>
        </w:numPr>
      </w:pPr>
      <w:hyperlink w:anchor="supplementary-materials-and-methods">
        <w:r>
          <w:rPr>
            <w:rStyle w:val="Hyperlink"/>
          </w:rPr>
          <w:t xml:space="preserve">Supplementary Materials and Methods</w:t>
        </w:r>
      </w:hyperlink>
    </w:p>
    <w:p>
      <w:pPr>
        <w:pStyle w:val="Compact"/>
        <w:numPr>
          <w:numId w:val="1002"/>
          <w:ilvl w:val="1"/>
        </w:numPr>
      </w:pPr>
      <w:hyperlink w:anchor="Xbe52612aa2a08d9191ee3670ef3da1063ab3590">
        <w:r>
          <w:rPr>
            <w:rStyle w:val="Hyperlink"/>
          </w:rPr>
          <w:t xml:space="preserve">Income-stratified national household energy and carbon footprints</w:t>
        </w:r>
      </w:hyperlink>
    </w:p>
    <w:p>
      <w:pPr>
        <w:pStyle w:val="Compact"/>
        <w:numPr>
          <w:numId w:val="1003"/>
          <w:ilvl w:val="2"/>
        </w:numPr>
      </w:pPr>
      <w:hyperlink w:anchor="exiobase">
        <w:r>
          <w:rPr>
            <w:rStyle w:val="Hyperlink"/>
          </w:rPr>
          <w:t xml:space="preserve">EXIOBASE</w:t>
        </w:r>
      </w:hyperlink>
    </w:p>
    <w:p>
      <w:pPr>
        <w:pStyle w:val="Compact"/>
        <w:numPr>
          <w:numId w:val="1003"/>
          <w:ilvl w:val="2"/>
        </w:numPr>
      </w:pPr>
      <w:hyperlink w:anchor="eurostat-hbs">
        <w:r>
          <w:rPr>
            <w:rStyle w:val="Hyperlink"/>
          </w:rPr>
          <w:t xml:space="preserve">EUROSTAT HBS</w:t>
        </w:r>
      </w:hyperlink>
    </w:p>
    <w:p>
      <w:pPr>
        <w:pStyle w:val="Compact"/>
        <w:numPr>
          <w:numId w:val="1003"/>
          <w:ilvl w:val="2"/>
        </w:numPr>
      </w:pPr>
      <w:hyperlink w:anchor="method-for-main-paper-results">
        <w:r>
          <w:rPr>
            <w:rStyle w:val="Hyperlink"/>
          </w:rPr>
          <w:t xml:space="preserve">Method for main paper results</w:t>
        </w:r>
      </w:hyperlink>
    </w:p>
    <w:p>
      <w:pPr>
        <w:pStyle w:val="Compact"/>
        <w:numPr>
          <w:numId w:val="1003"/>
          <w:ilvl w:val="2"/>
        </w:numPr>
      </w:pPr>
      <w:hyperlink w:anchor="Xbfbd531a14099eb2827f97ea2991c0935e43b23">
        <w:r>
          <w:rPr>
            <w:rStyle w:val="Hyperlink"/>
          </w:rPr>
          <w:t xml:space="preserve">Correspondence between EXIOBASE and EUROSTAT HBS</w:t>
        </w:r>
      </w:hyperlink>
    </w:p>
    <w:p>
      <w:pPr>
        <w:pStyle w:val="Compact"/>
        <w:numPr>
          <w:numId w:val="1003"/>
          <w:ilvl w:val="2"/>
        </w:numPr>
      </w:pPr>
      <w:hyperlink w:anchor="country-and-year-coverage">
        <w:r>
          <w:rPr>
            <w:rStyle w:val="Hyperlink"/>
          </w:rPr>
          <w:t xml:space="preserve">Country and year coverage</w:t>
        </w:r>
      </w:hyperlink>
    </w:p>
    <w:p>
      <w:pPr>
        <w:pStyle w:val="Compact"/>
        <w:numPr>
          <w:numId w:val="1002"/>
          <w:ilvl w:val="1"/>
        </w:numPr>
      </w:pPr>
      <w:hyperlink w:anchor="european-household-expenditure-deciles">
        <w:r>
          <w:rPr>
            <w:rStyle w:val="Hyperlink"/>
          </w:rPr>
          <w:t xml:space="preserve">European household expenditure deciles</w:t>
        </w:r>
      </w:hyperlink>
    </w:p>
    <w:p>
      <w:pPr>
        <w:pStyle w:val="Compact"/>
        <w:numPr>
          <w:numId w:val="1002"/>
          <w:ilvl w:val="1"/>
        </w:numPr>
      </w:pPr>
      <w:hyperlink w:anchor="limitations">
        <w:r>
          <w:rPr>
            <w:rStyle w:val="Hyperlink"/>
          </w:rPr>
          <w:t xml:space="preserve">Limitations</w:t>
        </w:r>
      </w:hyperlink>
    </w:p>
    <w:p>
      <w:pPr>
        <w:pStyle w:val="Compact"/>
        <w:numPr>
          <w:numId w:val="1004"/>
          <w:ilvl w:val="2"/>
        </w:numPr>
      </w:pPr>
      <w:hyperlink w:anchor="Xc9cc011df3901412df578718cd85618f03e30b3">
        <w:r>
          <w:rPr>
            <w:rStyle w:val="Hyperlink"/>
          </w:rPr>
          <w:t xml:space="preserve">Alternative method for income-stratified national household energy and carbon footprints</w:t>
        </w:r>
      </w:hyperlink>
    </w:p>
    <w:p>
      <w:pPr>
        <w:pStyle w:val="Compact"/>
        <w:numPr>
          <w:numId w:val="1001"/>
          <w:ilvl w:val="0"/>
        </w:numPr>
      </w:pPr>
      <w:hyperlink w:anchor="supplementary-results">
        <w:r>
          <w:rPr>
            <w:rStyle w:val="Hyperlink"/>
          </w:rPr>
          <w:t xml:space="preserve">Supplementary Results</w:t>
        </w:r>
      </w:hyperlink>
    </w:p>
    <w:p>
      <w:pPr>
        <w:pStyle w:val="Compact"/>
        <w:numPr>
          <w:numId w:val="1005"/>
          <w:ilvl w:val="1"/>
        </w:numPr>
      </w:pPr>
      <w:hyperlink w:anchor="Xe207d596d471af4703746a0b1b8f29567c88f87">
        <w:r>
          <w:rPr>
            <w:rStyle w:val="Hyperlink"/>
          </w:rPr>
          <w:t xml:space="preserve">Year 2005, using main method, EXIOBASE industry-by-industry</w:t>
        </w:r>
      </w:hyperlink>
    </w:p>
    <w:p>
      <w:pPr>
        <w:pStyle w:val="Compact"/>
        <w:numPr>
          <w:numId w:val="1005"/>
          <w:ilvl w:val="1"/>
        </w:numPr>
      </w:pPr>
      <w:hyperlink w:anchor="X284a105ff3fc9db6479552ecc7281970de71e88">
        <w:r>
          <w:rPr>
            <w:rStyle w:val="Hyperlink"/>
          </w:rPr>
          <w:t xml:space="preserve">Year 2010, using main method, EXIOBASE industry-by-industry</w:t>
        </w:r>
      </w:hyperlink>
    </w:p>
    <w:p>
      <w:pPr>
        <w:pStyle w:val="Compact"/>
        <w:numPr>
          <w:numId w:val="1005"/>
          <w:ilvl w:val="1"/>
        </w:numPr>
      </w:pPr>
      <w:hyperlink w:anchor="X16e25bf1cb58780369add2195c6c855688ff41a">
        <w:r>
          <w:rPr>
            <w:rStyle w:val="Hyperlink"/>
          </w:rPr>
          <w:t xml:space="preserve">Year 2010, using main method, EXIOBASE product-by-product</w:t>
        </w:r>
      </w:hyperlink>
    </w:p>
    <w:p>
      <w:pPr>
        <w:pStyle w:val="Compact"/>
        <w:numPr>
          <w:numId w:val="1005"/>
          <w:ilvl w:val="1"/>
        </w:numPr>
      </w:pPr>
      <w:hyperlink w:anchor="Xb20911a960b750614e7ef242a4c565accb73b3d">
        <w:r>
          <w:rPr>
            <w:rStyle w:val="Hyperlink"/>
          </w:rPr>
          <w:t xml:space="preserve">Year 2015, using alternative method, EXIOBASE industry-by-industry</w:t>
        </w:r>
      </w:hyperlink>
    </w:p>
    <w:p>
      <w:pPr>
        <w:pStyle w:val="Compact"/>
        <w:numPr>
          <w:numId w:val="1001"/>
          <w:ilvl w:val="0"/>
        </w:numPr>
      </w:pPr>
      <w:hyperlink w:anchor="units-of-analysis">
        <w:r>
          <w:rPr>
            <w:rStyle w:val="Hyperlink"/>
          </w:rPr>
          <w:t xml:space="preserve">Units of analysis</w:t>
        </w:r>
      </w:hyperlink>
    </w:p>
    <w:p>
      <w:pPr>
        <w:pStyle w:val="Compact"/>
        <w:numPr>
          <w:numId w:val="1006"/>
          <w:ilvl w:val="1"/>
        </w:numPr>
      </w:pPr>
      <w:hyperlink w:anchor="Xf329215321af9ee65f150ab66003812d0079232">
        <w:r>
          <w:rPr>
            <w:rStyle w:val="Hyperlink"/>
          </w:rPr>
          <w:t xml:space="preserve">Figure 5 from main paper in household final energy per capita</w:t>
        </w:r>
      </w:hyperlink>
    </w:p>
    <w:p>
      <w:pPr>
        <w:pStyle w:val="Compact"/>
        <w:numPr>
          <w:numId w:val="1001"/>
          <w:ilvl w:val="0"/>
        </w:numPr>
      </w:pPr>
      <w:hyperlink w:anchor="references">
        <w:r>
          <w:rPr>
            <w:rStyle w:val="Hyperlink"/>
          </w:rPr>
          <w:t xml:space="preserve">References</w:t>
        </w:r>
      </w:hyperlink>
    </w:p>
    <w:p>
      <w:pPr>
        <w:pStyle w:val="Heading1"/>
      </w:pPr>
      <w:bookmarkStart w:id="20" w:name="supplementary-materials-and-methods"/>
      <w:r>
        <w:t xml:space="preserve">Supplementary Materials and Methods</w:t>
      </w:r>
      <w:bookmarkEnd w:id="20"/>
    </w:p>
    <w:p>
      <w:pPr>
        <w:pStyle w:val="FirstParagraph"/>
      </w:pPr>
      <w:r>
        <w:t xml:space="preserve">In this paper we first stratified EXIOBASE national household energy and carbon footprints by income quintile, using data from the EUROSTAT Household Budget Survey (HBS). We then ranked all of these national income quintiles (140 quintiles in total: 28 countries x 5 national income quintiles) according to their mean expenditure in purchasing power standards (PPS), and aggregated them into 10 European expenditure deciles. The resultant household energy and carbon footprints per European expenditure decile in the year 2015 are then our level of analysis through the whole main paper. In this SI document, we explain these steps in more detail, discuss limitations, and provide some supplementary results at the end.</w:t>
      </w:r>
    </w:p>
    <w:p>
      <w:pPr>
        <w:pStyle w:val="Heading2"/>
      </w:pPr>
      <w:bookmarkStart w:id="21" w:name="Xbe52612aa2a08d9191ee3670ef3da1063ab3590"/>
      <w:r>
        <w:t xml:space="preserve">Income-stratified national household energy and carbon footprints</w:t>
      </w:r>
      <w:bookmarkEnd w:id="21"/>
    </w:p>
    <w:p>
      <w:pPr>
        <w:pStyle w:val="FirstParagraph"/>
      </w:pPr>
      <w:r>
        <w:t xml:space="preserve">The first step was stratifying an Environmentally-Extended Multi-Regional Input-Output (EE-MRIO) model’s household final demand expenditure by income quantile, and then multiplying this income-stratified expenditure by</w:t>
      </w:r>
      <w:r>
        <w:t xml:space="preserve"> </w:t>
      </w:r>
      <w:r>
        <w:t xml:space="preserve">‘</w:t>
      </w:r>
      <w:r>
        <w:t xml:space="preserve">direct and indirect supply chain</w:t>
      </w:r>
      <w:r>
        <w:t xml:space="preserve">’</w:t>
      </w:r>
      <w:r>
        <w:t xml:space="preserve"> </w:t>
      </w:r>
      <w:r>
        <w:t xml:space="preserve">environmental intensities calculated in the EE-MRIO to estimate income-stratified national household environmental footprints.</w:t>
      </w:r>
    </w:p>
    <w:p>
      <w:pPr>
        <w:pStyle w:val="BodyText"/>
      </w:pPr>
      <w:r>
        <w:t xml:space="preserve">An EE-MRIO can calculate national environmental footprints from final demand expenditure. Final demand expenditure on different production sectors, in monetary units, is multiplied by</w:t>
      </w:r>
      <w:r>
        <w:t xml:space="preserve"> </w:t>
      </w:r>
      <w:r>
        <w:t xml:space="preserve">‘</w:t>
      </w:r>
      <w:r>
        <w:t xml:space="preserve">direct and indirect supply chain</w:t>
      </w:r>
      <w:r>
        <w:t xml:space="preserve">’</w:t>
      </w:r>
      <w:r>
        <w:t xml:space="preserve"> </w:t>
      </w:r>
      <w:r>
        <w:t xml:space="preserve">environmental intensities per production sector to calculate the environmental footprint (for one year). The</w:t>
      </w:r>
      <w:r>
        <w:t xml:space="preserve"> </w:t>
      </w:r>
      <w:r>
        <w:t xml:space="preserve">‘</w:t>
      </w:r>
      <w:r>
        <w:t xml:space="preserve">direct and indirect supply chain</w:t>
      </w:r>
      <w:r>
        <w:t xml:space="preserve">’</w:t>
      </w:r>
      <w:r>
        <w:t xml:space="preserve"> </w:t>
      </w:r>
      <w:r>
        <w:t xml:space="preserve">intensities per production sector estimate the total physical amount of environmental extension, whether emissions, energy use, etc., anywhere along the supply chain per monetary unit of final demand expenditure.</w:t>
      </w:r>
    </w:p>
    <w:p>
      <w:pPr>
        <w:pStyle w:val="BodyText"/>
      </w:pPr>
      <w:r>
        <w:t xml:space="preserve">In this way, the global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direct and indirect supply chain</w:t>
      </w:r>
      <w:r>
        <w:t xml:space="preserve">’</w:t>
      </w:r>
      <w:r>
        <w:t xml:space="preserve"> </w:t>
      </w:r>
      <w:r>
        <w:t xml:space="preserve">intensities per production sector are calculated using standard EE-MRIO calculations</w:t>
      </w:r>
      <w:r>
        <w:t xml:space="preserve"> </w:t>
      </w:r>
      <w:r>
        <w:t xml:space="preserve">(1)</w:t>
      </w:r>
      <w:r>
        <w:t xml:space="preserve">.</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Current publicly available EE-MRIOs do not have final demand expenditure stratified by income quantile. The underlying distribution of final demand expenditure and footprint across income groups is therefore hidden.</w:t>
      </w:r>
    </w:p>
    <w:p>
      <w:pPr>
        <w:pStyle w:val="BodyText"/>
      </w:pPr>
      <w:r>
        <w:t xml:space="preserve">In order to stratify the EE-MRIO final demand expenditure and footprint by income quantile, a second data input is needed with information on the income/expenditure distribution. This could be a household budget survey (HBS) stratified by income quantile or, at a more aggregate level, the national income distribution. In this paper we use:</w:t>
      </w:r>
    </w:p>
    <w:p>
      <w:pPr>
        <w:numPr>
          <w:numId w:val="1007"/>
          <w:ilvl w:val="0"/>
        </w:numPr>
      </w:pPr>
      <w:r>
        <w:t xml:space="preserve">EE-MRIO: EXIOBASE version3.7 ixi, from:</w:t>
      </w:r>
      <w:r>
        <w:t xml:space="preserve"> </w:t>
      </w:r>
      <w:hyperlink r:id="rId22">
        <w:r>
          <w:rPr>
            <w:rStyle w:val="Hyperlink"/>
          </w:rPr>
          <w:t xml:space="preserve">https://zenodo.org/record/3583071#.XjC7kSN4wpY</w:t>
        </w:r>
      </w:hyperlink>
      <w:r>
        <w:t xml:space="preserve"> </w:t>
      </w:r>
      <w:r>
        <w:t xml:space="preserve">[accessed on 12.03.2020]</w:t>
      </w:r>
      <w:r>
        <w:t xml:space="preserve"> </w:t>
      </w:r>
      <w:r>
        <w:t xml:space="preserve">(2)</w:t>
      </w:r>
      <w:r>
        <w:t xml:space="preserve"> </w:t>
      </w:r>
      <w:r>
        <w:t xml:space="preserve">(3)</w:t>
      </w:r>
    </w:p>
    <w:p>
      <w:pPr>
        <w:numPr>
          <w:numId w:val="1007"/>
          <w:ilvl w:val="0"/>
        </w:numPr>
      </w:pPr>
      <w:r>
        <w:t xml:space="preserve">HBS: European household budget survey from EUROSTAT, macro-data, from :</w:t>
      </w:r>
      <w:r>
        <w:t xml:space="preserve"> </w:t>
      </w:r>
      <w:hyperlink r:id="rId23">
        <w:r>
          <w:rPr>
            <w:rStyle w:val="Hyperlink"/>
          </w:rPr>
          <w:t xml:space="preserve">https://ec.europa.eu/eurostat/web/household-budget-surveys/database</w:t>
        </w:r>
      </w:hyperlink>
      <w:r>
        <w:t xml:space="preserve"> </w:t>
      </w:r>
      <w:r>
        <w:t xml:space="preserve">[accessed on 22.05.2020]</w:t>
      </w:r>
      <w:r>
        <w:t xml:space="preserve"> </w:t>
      </w:r>
      <w:r>
        <w:t xml:space="preserve">(4)</w:t>
      </w:r>
    </w:p>
    <w:p>
      <w:pPr>
        <w:pStyle w:val="FirstParagraph"/>
      </w:pPr>
      <w:r>
        <w:t xml:space="preserve">We discuss each of these in turn, including additional data inputs needed to complement the HBS. We then present our methodology for our results from the main paper and some limitations. The final sub-section in</w:t>
      </w:r>
      <w:r>
        <w:t xml:space="preserve"> </w:t>
      </w:r>
      <w:r>
        <w:t xml:space="preserve">‘</w:t>
      </w:r>
      <w:r>
        <w:t xml:space="preserve">supplementary materials and methods</w:t>
      </w:r>
      <w:r>
        <w:t xml:space="preserve">’</w:t>
      </w:r>
      <w:r>
        <w:t xml:space="preserve"> </w:t>
      </w:r>
      <w:r>
        <w:t xml:space="preserve">presents an alternative methodology, and the final section of this supplementary information document presents supplementary results from the methodology used in the main paper and the alternative methodology. The whole analysis was performed in RStudio</w:t>
      </w:r>
      <w:r>
        <w:t xml:space="preserve"> </w:t>
      </w:r>
      <w:r>
        <w:t xml:space="preserve">(5)</w:t>
      </w:r>
      <w:r>
        <w:t xml:space="preserve">, using a variety of R packages</w:t>
      </w:r>
      <w:r>
        <w:t xml:space="preserve"> </w:t>
      </w:r>
      <w:r>
        <w:t xml:space="preserve">(6)</w:t>
      </w:r>
      <w:r>
        <w:t xml:space="preserve"> </w:t>
      </w:r>
      <w:r>
        <w:t xml:space="preserve">(7)</w:t>
      </w:r>
      <w:r>
        <w:t xml:space="preserve"> </w:t>
      </w:r>
      <w:r>
        <w:t xml:space="preserve">(8)</w:t>
      </w:r>
      <w:r>
        <w:t xml:space="preserve"> </w:t>
      </w:r>
      <w:r>
        <w:t xml:space="preserve">(9)</w:t>
      </w:r>
      <w:r>
        <w:t xml:space="preserve"> </w:t>
      </w:r>
      <w:r>
        <w:t xml:space="preserve">(10)</w:t>
      </w:r>
      <w:r>
        <w:t xml:space="preserve"> </w:t>
      </w:r>
      <w:r>
        <w:t xml:space="preserve">(11)</w:t>
      </w:r>
      <w:r>
        <w:t xml:space="preserve"> </w:t>
      </w:r>
      <w:r>
        <w:t xml:space="preserve">(12)</w:t>
      </w:r>
      <w:r>
        <w:t xml:space="preserve"> </w:t>
      </w:r>
      <w:r>
        <w:t xml:space="preserve">(13)</w:t>
      </w:r>
      <w:r>
        <w:t xml:space="preserve"> </w:t>
      </w:r>
      <w:r>
        <w:t xml:space="preserve">(14)</w:t>
      </w:r>
      <w:r>
        <w:t xml:space="preserve"> </w:t>
      </w:r>
      <w:r>
        <w:t xml:space="preserve">(15)</w:t>
      </w:r>
      <w:r>
        <w:t xml:space="preserve"> </w:t>
      </w:r>
      <w:r>
        <w:t xml:space="preserve">(16)</w:t>
      </w:r>
      <w:r>
        <w:t xml:space="preserve"> </w:t>
      </w:r>
      <w:r>
        <w:t xml:space="preserve">(17)</w:t>
      </w:r>
      <w:r>
        <w:t xml:space="preserve"> </w:t>
      </w:r>
      <w:r>
        <w:t xml:space="preserve">(18)</w:t>
      </w:r>
      <w:r>
        <w:t xml:space="preserve"> </w:t>
      </w:r>
      <w:r>
        <w:t xml:space="preserve">(19)</w:t>
      </w:r>
      <w:r>
        <w:t xml:space="preserve"> </w:t>
      </w:r>
      <w:r>
        <w:t xml:space="preserve">(20)</w:t>
      </w:r>
      <w:r>
        <w:t xml:space="preserve"> </w:t>
      </w:r>
      <w:r>
        <w:t xml:space="preserve">(21)</w:t>
      </w:r>
      <w:r>
        <w:t xml:space="preserve">.</w:t>
      </w:r>
    </w:p>
    <w:p>
      <w:pPr>
        <w:pStyle w:val="Heading3"/>
      </w:pPr>
      <w:bookmarkStart w:id="24" w:name="exiobase"/>
      <w:r>
        <w:t xml:space="preserve">EXIOBASE</w:t>
      </w:r>
      <w:bookmarkEnd w:id="24"/>
    </w:p>
    <w:p>
      <w:pPr>
        <w:pStyle w:val="FirstParagraph"/>
      </w:pPr>
      <w:r>
        <w:t xml:space="preserve">We use standard input-output calculations to calculate</w:t>
      </w:r>
      <w:r>
        <w:t xml:space="preserve"> </w:t>
      </w:r>
      <w:r>
        <w:t xml:space="preserve">‘</w:t>
      </w:r>
      <w:r>
        <w:t xml:space="preserve">direct and indirect supply chain</w:t>
      </w:r>
      <w:r>
        <w:t xml:space="preserve">’</w:t>
      </w:r>
      <w:r>
        <w:t xml:space="preserve"> </w:t>
      </w:r>
      <w:r>
        <w:t xml:space="preserve">intensity vectors in EXIOBASE</w:t>
      </w:r>
      <w:r>
        <w:t xml:space="preserve"> </w:t>
      </w:r>
      <w:r>
        <w:t xml:space="preserve">(1)</w:t>
      </w:r>
      <w:r>
        <w:t xml:space="preserve">. EXIOBASE publishes the A matrix, the final demand matrix, the satellite extensions matrix, and satellite extensions direct from final demand matrix. We use the industry-by-industry (ixi) EXIOBASE data tables from EXIOBASE version3.7. This means 163 industry production sectors and 6 final demand categories for 49 regions worldwide (44 countries and 5 rest-of-world regions), from 1995 - 2016. All monetary units are in million current Euros. Stadler et al. (2018)</w:t>
      </w:r>
      <w:r>
        <w:t xml:space="preserve"> </w:t>
      </w:r>
      <w:r>
        <w:t xml:space="preserve">(2)</w:t>
      </w:r>
      <w:r>
        <w:t xml:space="preserve"> </w:t>
      </w:r>
      <w:r>
        <w:t xml:space="preserve">describe the EXIOBASE version3.7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w:t>
      </w:r>
      <w:r>
        <w:t xml:space="preserve"> </w:t>
      </w:r>
      <w:r>
        <w:t xml:space="preserve">‘</w:t>
      </w:r>
      <w:r>
        <w:t xml:space="preserve">direct and indirect supply chain</w:t>
      </w:r>
      <w:r>
        <w:t xml:space="preserve">’</w:t>
      </w:r>
      <w:r>
        <w:t xml:space="preserve"> </w:t>
      </w:r>
      <w:r>
        <w:t xml:space="preserve">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stratify national household final demand expenditure by income quintile according to the structure of the EUROSTAT HBS,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4"/>
      </w:pPr>
      <w:bookmarkStart w:id="25" w:name="environmental-extensions"/>
      <w:r>
        <w:t xml:space="preserve">Environmental extensions</w:t>
      </w:r>
      <w:bookmarkEnd w:id="25"/>
    </w:p>
    <w:p>
      <w:pPr>
        <w:pStyle w:val="FirstParagraph"/>
      </w:pPr>
      <w:r>
        <w:t xml:space="preserve">The environmental extensions we use are emissions of CO2-equivalence (in kilograms) and</w:t>
      </w:r>
      <w:r>
        <w:t xml:space="preserve"> </w:t>
      </w:r>
      <w:r>
        <w:t xml:space="preserve">‘</w:t>
      </w:r>
      <w:r>
        <w:t xml:space="preserve">gross total energy use</w:t>
      </w:r>
      <w:r>
        <w:t xml:space="preserve">’</w:t>
      </w:r>
      <w:r>
        <w:t xml:space="preserve"> </w:t>
      </w:r>
      <w:r>
        <w:t xml:space="preserve">(in terajoules). We create the CO2-equivalence extension by summing together the greenhouse gases CO2, CH4, N2O, SF6, HFCs, and PFCs, from combustion, noncombustion, agriculture and waste. We use Global Warming Potential (GWP) values for a 100-year time horizon taken from the IPCC Fifth Assessment Report</w:t>
      </w:r>
      <w:r>
        <w:t xml:space="preserve"> </w:t>
      </w:r>
      <w:r>
        <w:t xml:space="preserve">(22)</w:t>
      </w:r>
      <w:r>
        <w:t xml:space="preserve">: 28 for CH4, 265 for N2O and 23500 for SF6 (HFCs and PFCs are in CO2-equivalence already in the EXIOBASE environmental extensions).</w:t>
      </w:r>
    </w:p>
    <w:p>
      <w:pPr>
        <w:pStyle w:val="BodyText"/>
      </w:pPr>
      <w:r>
        <w:t xml:space="preserve">The</w:t>
      </w:r>
      <w:r>
        <w:t xml:space="preserve"> </w:t>
      </w:r>
      <w:r>
        <w:t xml:space="preserve">‘</w:t>
      </w:r>
      <w:r>
        <w:t xml:space="preserve">gross total energy use</w:t>
      </w:r>
      <w:r>
        <w:t xml:space="preserve">’</w:t>
      </w:r>
      <w:r>
        <w:t xml:space="preserve"> </w:t>
      </w:r>
      <w:r>
        <w:t xml:space="preserve">extension in EXIOBASE converts final energy consumption in the International Energy Agency (IEA) energy balance data from the territorial to residence principle following System of Environmental Economic Accounting (SEEA) energy accounting principles. In their Supporting Information 2, Stadler et al. (2018)</w:t>
      </w:r>
      <w:r>
        <w:t xml:space="preserve"> </w:t>
      </w:r>
      <w:r>
        <w:t xml:space="preserve">(2)</w:t>
      </w:r>
      <w:r>
        <w:t xml:space="preserve"> </w:t>
      </w:r>
      <w:r>
        <w:t xml:space="preserve">describe the compilation of the energy extensions in EXIOBASE version3.7. Energy supply and use tables from the IEA are converted from the territory to the residence principle before being allocated to the EXIOBASE industries and final demand categories.</w:t>
      </w:r>
    </w:p>
    <w:p>
      <w:pPr>
        <w:pStyle w:val="BodyText"/>
      </w:pPr>
      <w:r>
        <w:t xml:space="preserve">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is allocated to the resident units of a country, independent from where these activities take place. In EXIOBASE version3.7, because emissions from these transport activities are estimated from the energy extensions via emission factors, the emissions extensions follow the residence principle as well.</w:t>
      </w:r>
    </w:p>
    <w:p>
      <w:pPr>
        <w:pStyle w:val="Heading4"/>
      </w:pPr>
      <w:bookmarkStart w:id="26" w:name="X02a4e6e6afb08f4eea7f3cf6b179b994a11a010"/>
      <w:r>
        <w:t xml:space="preserve">Environmental extensions direct from households</w:t>
      </w:r>
      <w:bookmarkEnd w:id="26"/>
    </w:p>
    <w:p>
      <w:pPr>
        <w:pStyle w:val="FirstParagraph"/>
      </w:pPr>
      <w:r>
        <w:t xml:space="preserve">For CO2-equivalence emissions and energy use direct from households, the EXIOBASE extensions provide one number of physical emissions and energy use direct from households per country. This number is made up of some mix between, primarily, direct household vehicle fuel use and direct household fuel use for housing heating and cooling, along with some other, smaller miscellaneous uses. To estimate the split between these three activities,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Full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(23)</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2005 and 2010 results are shown only in this SI document). The two data tables are:</w:t>
      </w:r>
    </w:p>
    <w:p>
      <w:pPr>
        <w:numPr>
          <w:numId w:val="1008"/>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7">
        <w:r>
          <w:rPr>
            <w:rStyle w:val="Hyperlink"/>
          </w:rPr>
          <w:t xml:space="preserve">http://appsso.eurostat.ec.europa.eu/nui/show.do?dataset=env_ac_pefasu</w:t>
        </w:r>
      </w:hyperlink>
      <w:r>
        <w:t xml:space="preserve"> </w:t>
      </w:r>
      <w:r>
        <w:t xml:space="preserve">[accessed on 03.06.2020].</w:t>
      </w:r>
      <w:r>
        <w:t xml:space="preserve"> </w:t>
      </w:r>
      <w:r>
        <w:t xml:space="preserve">(24)</w:t>
      </w:r>
    </w:p>
    <w:p>
      <w:pPr>
        <w:numPr>
          <w:numId w:val="1008"/>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8">
        <w:r>
          <w:rPr>
            <w:rStyle w:val="Hyperlink"/>
          </w:rPr>
          <w:t xml:space="preserve">https://appsso.eurostat.ec.europa.eu/nui/show.do?dataset=env_ac_ainah_r2&amp;lang=en</w:t>
        </w:r>
      </w:hyperlink>
      <w:r>
        <w:t xml:space="preserve"> </w:t>
      </w:r>
      <w:r>
        <w:t xml:space="preserve">[accessed on 03.06.2020].</w:t>
      </w:r>
      <w:r>
        <w:t xml:space="preserve"> </w:t>
      </w:r>
      <w:r>
        <w:t xml:space="preserve">(25)</w:t>
      </w:r>
    </w:p>
    <w:p>
      <w:pPr>
        <w:pStyle w:val="Heading3"/>
      </w:pPr>
      <w:bookmarkStart w:id="29" w:name="eurostat-hbs"/>
      <w:r>
        <w:t xml:space="preserve">EUROSTAT HBS</w:t>
      </w:r>
      <w:bookmarkEnd w:id="29"/>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9"/>
          <w:ilvl w:val="0"/>
        </w:numPr>
      </w:pPr>
      <w:r>
        <w:t xml:space="preserve">‘</w:t>
      </w:r>
      <w:r>
        <w:t xml:space="preserve">Mean consumption expenditure by income quintile (hbs_exp_t133)</w:t>
      </w:r>
      <w:r>
        <w:t xml:space="preserve">’</w:t>
      </w:r>
    </w:p>
    <w:p>
      <w:pPr>
        <w:numPr>
          <w:numId w:val="1009"/>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standards (PPS) per year, country and income quintile, in two possible units; per household and per adult equivalent. Purchasing power standard (PPS) is a common currency measure that eliminates differences in national price-levels. The income quintiles are determined by household, ie. all households in the sample are ranked by income and evenly distributed into five quintiles, thus there are the same number of households in each income quintile. For per adult equivalent,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(26)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there are only a few with level 3. For the current analysis, we select our own mix of COICOP level 1 and 2. We use COICOP level 1, except for the categories of food (CP01), housing (CP04) and mobility (CP07), where we use level 2, due to their importance for energy use and emissions.</w:t>
      </w:r>
    </w:p>
    <w:p>
      <w:pPr>
        <w:pStyle w:val="BodyText"/>
      </w:pPr>
      <w:r>
        <w:t xml:space="preserve">This is primarily because of the diversity of level 2 categories, especially within those three aggregate level 1 categories. This is most clearly seen in the housing category, where, at level 2, housing is broken down into:</w:t>
      </w:r>
      <w:r>
        <w:t xml:space="preserve"> </w:t>
      </w:r>
      <w:r>
        <w:t xml:space="preserve">‘</w:t>
      </w:r>
      <w:r>
        <w:t xml:space="preserve">Actual rentals for housing</w:t>
      </w:r>
      <w:r>
        <w:t xml:space="preserve">’</w:t>
      </w:r>
      <w:r>
        <w:t xml:space="preserve"> </w:t>
      </w:r>
      <w:r>
        <w:t xml:space="preserve">(CP041),</w:t>
      </w:r>
      <w:r>
        <w:t xml:space="preserve"> </w:t>
      </w:r>
      <w:r>
        <w:t xml:space="preserve">‘</w:t>
      </w:r>
      <w:r>
        <w:t xml:space="preserve">Imputed rentals for housing</w:t>
      </w:r>
      <w:r>
        <w:t xml:space="preserve">’</w:t>
      </w:r>
      <w:r>
        <w:t xml:space="preserve"> </w:t>
      </w:r>
      <w:r>
        <w:t xml:space="preserve">(CP042),</w:t>
      </w:r>
      <w:r>
        <w:t xml:space="preserve"> </w:t>
      </w:r>
      <w:r>
        <w:t xml:space="preserve">‘</w:t>
      </w:r>
      <w:r>
        <w:t xml:space="preserve">Maintenance and repair of the dwelling</w:t>
      </w:r>
      <w:r>
        <w:t xml:space="preserve">’</w:t>
      </w:r>
      <w:r>
        <w:t xml:space="preserve"> </w:t>
      </w:r>
      <w:r>
        <w:t xml:space="preserve">(CP043),</w:t>
      </w:r>
      <w:r>
        <w:t xml:space="preserve"> </w:t>
      </w:r>
      <w:r>
        <w:t xml:space="preserve">‘</w:t>
      </w:r>
      <w:r>
        <w:t xml:space="preserve">Water supply and miscellaneous services relating to the dwelling</w:t>
      </w:r>
      <w:r>
        <w:t xml:space="preserve">’</w:t>
      </w:r>
      <w:r>
        <w:t xml:space="preserve"> </w:t>
      </w:r>
      <w:r>
        <w:t xml:space="preserve">(CP044), and</w:t>
      </w:r>
      <w:r>
        <w:t xml:space="preserve"> </w:t>
      </w:r>
      <w:r>
        <w:t xml:space="preserve">‘</w:t>
      </w:r>
      <w:r>
        <w:t xml:space="preserve">Electricity, gas and other fuels</w:t>
      </w:r>
      <w:r>
        <w:t xml:space="preserve">’</w:t>
      </w:r>
      <w:r>
        <w:t xml:space="preserve"> </w:t>
      </w:r>
      <w:r>
        <w:t xml:space="preserve">(CP045). Corresponding all housing-related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The COICOP consumption categories we thus use are: CP011 (</w:t>
      </w:r>
      <w:r>
        <w:t xml:space="preserve">‘</w:t>
      </w:r>
      <w:r>
        <w:t xml:space="preserve">Food</w:t>
      </w:r>
      <w:r>
        <w:t xml:space="preserve">’</w:t>
      </w:r>
      <w:r>
        <w:t xml:space="preserve">), CP012 (</w:t>
      </w:r>
      <w:r>
        <w:t xml:space="preserve">‘</w:t>
      </w:r>
      <w:r>
        <w:t xml:space="preserve">Non-alcoholic beverages</w:t>
      </w:r>
      <w:r>
        <w:t xml:space="preserve">’</w:t>
      </w:r>
      <w:r>
        <w:t xml:space="preserve">), CP02 (</w:t>
      </w:r>
      <w:r>
        <w:t xml:space="preserve">‘</w:t>
      </w:r>
      <w:r>
        <w:t xml:space="preserve">Alcoholic beverages, tobacco and narcotics</w:t>
      </w:r>
      <w:r>
        <w:t xml:space="preserve">’</w:t>
      </w:r>
      <w:r>
        <w:t xml:space="preserve">), CP03 (</w:t>
      </w:r>
      <w:r>
        <w:t xml:space="preserve">‘</w:t>
      </w:r>
      <w:r>
        <w:t xml:space="preserve">Clothing and footwear</w:t>
      </w:r>
      <w:r>
        <w:t xml:space="preserve">’</w:t>
      </w:r>
      <w:r>
        <w:t xml:space="preserve">),</w:t>
      </w:r>
      <w:r>
        <w:t xml:space="preserve"> </w:t>
      </w:r>
      <w:r>
        <w:t xml:space="preserve">‘</w:t>
      </w:r>
      <w:r>
        <w:t xml:space="preserve">rent</w:t>
      </w:r>
      <w:r>
        <w:t xml:space="preserve">’</w:t>
      </w:r>
      <w:r>
        <w:t xml:space="preserve"> </w:t>
      </w:r>
      <w:r>
        <w:t xml:space="preserve">(we collapse CP041 with CP042), CP043, CP044, CP045, CP05 (</w:t>
      </w:r>
      <w:r>
        <w:t xml:space="preserve">‘</w:t>
      </w:r>
      <w:r>
        <w:t xml:space="preserve">Furnishings, household equipment and routine household maintenance</w:t>
      </w:r>
      <w:r>
        <w:t xml:space="preserve">’</w:t>
      </w:r>
      <w:r>
        <w:t xml:space="preserve">), CP06 (</w:t>
      </w:r>
      <w:r>
        <w:t xml:space="preserve">‘</w:t>
      </w:r>
      <w:r>
        <w:t xml:space="preserve">Health</w:t>
      </w:r>
      <w:r>
        <w:t xml:space="preserve">’</w:t>
      </w:r>
      <w:r>
        <w:t xml:space="preserve">), CP071 (</w:t>
      </w:r>
      <w:r>
        <w:t xml:space="preserve">‘</w:t>
      </w:r>
      <w:r>
        <w:t xml:space="preserve">Purchase of vehicles</w:t>
      </w:r>
      <w:r>
        <w:t xml:space="preserve">’</w:t>
      </w:r>
      <w:r>
        <w:t xml:space="preserve">), CP072 (</w:t>
      </w:r>
      <w:r>
        <w:t xml:space="preserve">‘</w:t>
      </w:r>
      <w:r>
        <w:t xml:space="preserve">Operation of personal transport equipment</w:t>
      </w:r>
      <w:r>
        <w:t xml:space="preserve">’</w:t>
      </w:r>
      <w:r>
        <w:t xml:space="preserve">), CP073 (</w:t>
      </w:r>
      <w:r>
        <w:t xml:space="preserve">‘</w:t>
      </w:r>
      <w:r>
        <w:t xml:space="preserve">Transport services</w:t>
      </w:r>
      <w:r>
        <w:t xml:space="preserve">’</w:t>
      </w:r>
      <w:r>
        <w:t xml:space="preserve">), CP08 (</w:t>
      </w:r>
      <w:r>
        <w:t xml:space="preserve">‘</w:t>
      </w:r>
      <w:r>
        <w:t xml:space="preserve">Communications</w:t>
      </w:r>
      <w:r>
        <w:t xml:space="preserve">’</w:t>
      </w:r>
      <w:r>
        <w:t xml:space="preserve">), CP09 (</w:t>
      </w:r>
      <w:r>
        <w:t xml:space="preserve">‘</w:t>
      </w:r>
      <w:r>
        <w:t xml:space="preserve">Recreation and culture</w:t>
      </w:r>
      <w:r>
        <w:t xml:space="preserve">’</w:t>
      </w:r>
      <w:r>
        <w:t xml:space="preserve">), CP10 (</w:t>
      </w:r>
      <w:r>
        <w:t xml:space="preserve">‘</w:t>
      </w:r>
      <w:r>
        <w:t xml:space="preserve">Education</w:t>
      </w:r>
      <w:r>
        <w:t xml:space="preserve">’</w:t>
      </w:r>
      <w:r>
        <w:t xml:space="preserve">), CP11 (</w:t>
      </w:r>
      <w:r>
        <w:t xml:space="preserve">‘</w:t>
      </w:r>
      <w:r>
        <w:t xml:space="preserve">Restaurants and hotels</w:t>
      </w:r>
      <w:r>
        <w:t xml:space="preserve">’</w:t>
      </w:r>
      <w:r>
        <w:t xml:space="preserve">), CP12 (</w:t>
      </w:r>
      <w:r>
        <w:t xml:space="preserve">‘</w:t>
      </w:r>
      <w:r>
        <w:t xml:space="preserve">Miscellaneous goods and services</w:t>
      </w:r>
      <w:r>
        <w:t xml:space="preserve">’</w:t>
      </w:r>
      <w:r>
        <w:t xml:space="preserve">).</w:t>
      </w:r>
    </w:p>
    <w:p>
      <w:pPr>
        <w:pStyle w:val="BodyText"/>
      </w:pPr>
      <w:r>
        <w:t xml:space="preserve">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per household and per adult equivalent. We use households per adult equivalent as our unit of analysis throughout the main paper, and in order to express our footprint estimates per adult equivalent, we needed the total number of private households in each country and year, and for this, two additional data tables were needed. We used:</w:t>
      </w:r>
    </w:p>
    <w:p>
      <w:pPr>
        <w:numPr>
          <w:numId w:val="1010"/>
          <w:ilvl w:val="0"/>
        </w:numPr>
      </w:pPr>
      <w:r>
        <w:t xml:space="preserve">The</w:t>
      </w:r>
      <w:r>
        <w:t xml:space="preserve"> </w:t>
      </w:r>
      <w:r>
        <w:t xml:space="preserve">‘</w:t>
      </w:r>
      <w:r>
        <w:t xml:space="preserve">lfst_hhnhtych</w:t>
      </w:r>
      <w:r>
        <w:t xml:space="preserve">’</w:t>
      </w:r>
      <w:r>
        <w:t xml:space="preserve"> </w:t>
      </w:r>
      <w:r>
        <w:t xml:space="preserve">table from EUROSTAT (Number of private households), selecting all available years and total households [accessed on 04.05.2020].</w:t>
      </w:r>
      <w:r>
        <w:t xml:space="preserve"> </w:t>
      </w:r>
      <w:r>
        <w:t xml:space="preserve">(27)</w:t>
      </w:r>
    </w:p>
    <w:p>
      <w:pPr>
        <w:numPr>
          <w:numId w:val="1010"/>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30">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(28)</w:t>
      </w:r>
    </w:p>
    <w:p>
      <w:pPr>
        <w:pStyle w:val="Heading3"/>
      </w:pPr>
      <w:bookmarkStart w:id="31" w:name="method-for-main-paper-results"/>
      <w:r>
        <w:t xml:space="preserve">Method for main paper results</w:t>
      </w:r>
      <w:bookmarkEnd w:id="31"/>
    </w:p>
    <w:p>
      <w:pPr>
        <w:pStyle w:val="FirstParagraph"/>
      </w:pPr>
      <w:r>
        <w:t xml:space="preserve">For our results in the main paper, we first stratify the EXIOBASE national household final demand expenditure (before calculating the footprint) by income quintile, using the relative expenditure shares of each income quintile on the COICOP consumption categories in the EUROSTAT HBS. We do this for 2005, 2010 and 2015, but only present 2015 in the main paper.</w:t>
      </w:r>
    </w:p>
    <w:p>
      <w:pPr>
        <w:pStyle w:val="BodyText"/>
      </w:pPr>
      <w:r>
        <w:t xml:space="preserve">The initial step was creating a correspondence table, assigning each production sector in EXIOBASE to one COICOP consumption category in the HBS. Because the share of each consumption category/production sector in the total amount of expenditure is not identical between the HBS and EXIOBASE, there are two possible methods for then stratifying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w:t>
      </w:r>
    </w:p>
    <w:p>
      <w:pPr>
        <w:pStyle w:val="BodyText"/>
      </w:pPr>
      <w:r>
        <w:t xml:space="preserve">Our results in the main paper use the first method, keeping the EXIOBASE production sector shares of total EXIOBASE expenditure intact. This means that the total footprint is identical to when it is calculated in EXIOBASE without any stratification by income quintile.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direct and indirect supply chain</w:t>
      </w:r>
      <w:r>
        <w:t xml:space="preserve">’</w:t>
      </w:r>
      <w:r>
        <w:t xml:space="preserve"> </w:t>
      </w:r>
      <w:r>
        <w:t xml:space="preserve">intensity for that production sector. We present the alternative method and some results in the last sections of this document.</w:t>
      </w:r>
    </w:p>
    <w:p>
      <w:pPr>
        <w:pStyle w:val="BodyText"/>
      </w:pPr>
      <w:r>
        <w:t xml:space="preserve">In this current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EXIOBASE production sectors that correspond to one HBS consumption category.</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standards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 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BodyText"/>
      </w:pPr>
      <w:r>
        <w:rPr>
          <w:i/>
          <w:b/>
        </w:rPr>
        <w:t xml:space="preserve">Table S1: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stratify it by income quintile (Table S2).</w:t>
      </w:r>
    </w:p>
    <w:p>
      <w:pPr>
        <w:pStyle w:val="BodyText"/>
      </w:pPr>
      <w:r>
        <w:rPr>
          <w:i/>
          <w:b/>
        </w:rPr>
        <w:t xml:space="preserve">Table S2: HBS income quintile shares per sector multiplied by EE-MRIO household final demand expenditure vector to calculate EE-MRIO household final demand expenditure per 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861"/>
        <w:gridCol w:w="861"/>
        <w:gridCol w:w="861"/>
        <w:gridCol w:w="861"/>
        <w:gridCol w:w="861"/>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BodyText"/>
      </w:pPr>
      <w:r>
        <w:t xml:space="preserve">Step 3) Once the EE-MRIO household final demand expenditure is stratified by income quintile, it is multiplied by the EE-MRIO</w:t>
      </w:r>
      <w:r>
        <w:t xml:space="preserve"> </w:t>
      </w:r>
      <w:r>
        <w:t xml:space="preserve">‘</w:t>
      </w:r>
      <w:r>
        <w:t xml:space="preserve">direct and indirect supply chain</w:t>
      </w:r>
      <w:r>
        <w:t xml:space="preserve">’</w:t>
      </w:r>
      <w:r>
        <w:t xml:space="preserve"> </w:t>
      </w:r>
      <w:r>
        <w:t xml:space="preserve">intensities per sector to calculate the EE-MRIO household footprint per sector stratified by income quintile (Table S3). The total footprint per sector (</w:t>
      </w:r>
      <w:r>
        <w:t xml:space="preserve">‘</w:t>
      </w:r>
      <w:r>
        <w:t xml:space="preserve">total fp</w:t>
      </w:r>
      <w:r>
        <w:t xml:space="preserve">’</w:t>
      </w:r>
      <w:r>
        <w:t xml:space="preserve">) is the same as if we had simply multiplied the non-stratified EE-MRIO household final demand expenditure per sector (</w:t>
      </w:r>
      <w:r>
        <w:t xml:space="preserve">‘</w:t>
      </w:r>
      <w:r>
        <w:t xml:space="preserve">eemrio hh fd</w:t>
      </w:r>
      <w:r>
        <w:t xml:space="preserve">’</w:t>
      </w:r>
      <w:r>
        <w:t xml:space="preserve">)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w:t>
      </w:r>
    </w:p>
    <w:p>
      <w:pPr>
        <w:pStyle w:val="BodyText"/>
      </w:pPr>
      <w:r>
        <w:rPr>
          <w:i/>
          <w:b/>
        </w:rPr>
        <w:t xml:space="preserve">Table S3: Calculation of EE-MRIO household footprint stratified by income quintile, through multiplication of EE-MRIO household final demand expenditure per income quintile and sector by the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vector (TIV) calculated in the EE-MRIO (with only one</w:t>
      </w:r>
      <w:r>
        <w:rPr>
          <w:i/>
          <w:b/>
        </w:rPr>
        <w:t xml:space="preserve"> </w:t>
      </w:r>
      <w:r>
        <w:rPr>
          <w:i/>
          <w:b/>
        </w:rPr>
        <w:t xml:space="preserve">‘</w:t>
      </w:r>
      <w:r>
        <w:rPr>
          <w:i/>
          <w:b/>
        </w:rPr>
        <w:t xml:space="preserve">direct and indirect supply chain</w:t>
      </w:r>
      <w:r>
        <w:rPr>
          <w:i/>
          <w:b/>
        </w:rPr>
        <w:t xml:space="preserve">’</w:t>
      </w:r>
      <w:r>
        <w:rPr>
          <w:i/>
          <w:b/>
        </w:rPr>
        <w:t xml:space="preserve"> </w:t>
      </w:r>
      <w:r>
        <w:rPr>
          <w:i/>
          <w:b/>
        </w:rPr>
        <w:t xml:space="preserve">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18"/>
        <w:gridCol w:w="1311"/>
        <w:gridCol w:w="624"/>
        <w:gridCol w:w="624"/>
        <w:gridCol w:w="624"/>
        <w:gridCol w:w="624"/>
        <w:gridCol w:w="624"/>
        <w:gridCol w:w="446"/>
        <w:gridCol w:w="624"/>
        <w:gridCol w:w="624"/>
        <w:gridCol w:w="624"/>
        <w:gridCol w:w="624"/>
        <w:gridCol w:w="624"/>
        <w:gridCol w:w="806"/>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total fp</w:t>
            </w:r>
          </w:p>
        </w:tc>
      </w:tr>
      <w:tr>
        <w:trPr>
          <w:cantSplit/>
          <w:trHeight w:val="29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w:t>
            </w:r>
          </w:p>
        </w:tc>
      </w:tr>
      <w:tr>
        <w:trPr>
          <w:cantSplit/>
          <w:trHeight w:val="29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320</w:t>
            </w:r>
          </w:p>
        </w:tc>
      </w:tr>
    </w:tbl>
    <w:p>
      <w:pPr>
        <w:pStyle w:val="Heading3"/>
      </w:pPr>
      <w:bookmarkStart w:id="32" w:name="Xbfbd531a14099eb2827f97ea2991c0935e43b23"/>
      <w:r>
        <w:t xml:space="preserve">Correspondence between EXIOBASE and EUROSTAT HBS</w:t>
      </w:r>
      <w:bookmarkEnd w:id="32"/>
    </w:p>
    <w:p>
      <w:pPr>
        <w:pStyle w:val="FirstParagraph"/>
      </w:pPr>
      <w:r>
        <w:t xml:space="preserve">Table S4 shows which EUROSTAT HBS consumption category each EXIOBASE production sector corresponds to, along with our grouping of the EXIOBASE production sectors into the five aggregated final consumption categories we present in the main paper. The direct energy and carbon from households correspond to: heating/cooling (HH_HEAT) to CP045, mobility (HH_TRA) to CP072, and other (HH_OTHER) to CP05, respectively.</w:t>
      </w:r>
    </w:p>
    <w:p>
      <w:pPr>
        <w:pStyle w:val="BodyText"/>
      </w:pPr>
      <w:r>
        <w:rPr>
          <w:i/>
          <w:b/>
        </w:rPr>
        <w:t xml:space="preserve">Table S4: Correspondence between EXIOBASE industry production sectors to COICOP consumption categories and 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760"/>
        <w:gridCol w:w="2160"/>
        <w:gridCol w:w="2160"/>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mobility</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housing</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3"/>
      </w:pPr>
      <w:bookmarkStart w:id="33" w:name="country-and-year-coverage"/>
      <w:r>
        <w:t xml:space="preserve">Country and year coverage</w:t>
      </w:r>
      <w:bookmarkEnd w:id="33"/>
    </w:p>
    <w:p>
      <w:pPr>
        <w:pStyle w:val="FirstParagraph"/>
      </w:pPr>
      <w:r>
        <w:t xml:space="preserve">The EXIOBASE version3.7 industry-by-industry is available for the years 1995 to 2016, albeit with the caveat that the original data series ends in 2011, the 2012-2016 estimates are based on trade and macro-economic data, and caution is advised when analysing trends over time. The EUROSTAT HBS is available for the years: 1988, 1994, 1999, 2005, 2010 and 2015, although not all countries are available for all years, and the years 1988, 1994, and 1999, in particular, have many missing countries. Table S5 shows the country and year coverage between EXIOBASE and the EUROSTAT HBS for the years 2005, 2010 and 2015. Rows with black text show countries that are represented in EXIOBASE, and an</w:t>
      </w:r>
      <w:r>
        <w:t xml:space="preserve"> </w:t>
      </w:r>
      <w:r>
        <w:t xml:space="preserve">‘</w:t>
      </w:r>
      <w:r>
        <w:t xml:space="preserve">x</w:t>
      </w:r>
      <w:r>
        <w:t xml:space="preserve">’</w:t>
      </w:r>
      <w:r>
        <w:t xml:space="preserve"> </w:t>
      </w:r>
      <w:r>
        <w:t xml:space="preserve">for those years where the necessary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 in EXIOBASE).</w:t>
      </w:r>
    </w:p>
    <w:p>
      <w:pPr>
        <w:pStyle w:val="BodyText"/>
      </w:pPr>
      <w:r>
        <w:rPr>
          <w:i/>
          <w:b/>
        </w:rPr>
        <w:t xml:space="preserve">Table S5: Country and year coverage between EXIOBASE and the EUROSTAT HBS. Rows with black text show countries that are represented in EXIOBASE, and an</w:t>
      </w:r>
      <w:r>
        <w:rPr>
          <w:i/>
          <w:b/>
        </w:rPr>
        <w:t xml:space="preserve"> </w:t>
      </w:r>
      <w:r>
        <w:rPr>
          <w:i/>
          <w:b/>
        </w:rPr>
        <w:t xml:space="preserve">‘</w:t>
      </w:r>
      <w:r>
        <w:rPr>
          <w:i/>
          <w:b/>
        </w:rPr>
        <w:t xml:space="preserve">x</w:t>
      </w:r>
      <w:r>
        <w:rPr>
          <w:i/>
          <w:b/>
        </w:rPr>
        <w:t xml:space="preserve">’</w:t>
      </w:r>
      <w:r>
        <w:rPr>
          <w:i/>
          <w:b/>
        </w:rPr>
        <w:t xml:space="preserve"> </w:t>
      </w:r>
      <w:r>
        <w:rPr>
          <w:i/>
          <w:b/>
        </w:rPr>
        <w:t xml:space="preserve">for those years where EUROSTAT HBS data also exists for that country. Rows with red text show countries where EUROSTAT HBS data exists, but who are not represented individually in EXIOBASE (they are in</w:t>
      </w:r>
      <w:r>
        <w:rPr>
          <w:i/>
          <w:b/>
        </w:rPr>
        <w:t xml:space="preserve"> </w:t>
      </w:r>
      <w:r>
        <w:rPr>
          <w:i/>
          <w:b/>
        </w:rPr>
        <w:t xml:space="preserve">‘</w:t>
      </w:r>
      <w:r>
        <w:rPr>
          <w:i/>
          <w:b/>
        </w:rPr>
        <w:t xml:space="preserve">rest-of-world</w:t>
      </w:r>
      <w:r>
        <w:rPr>
          <w:i/>
          <w:b/>
        </w:rPr>
        <w:t xml:space="preserve">’</w:t>
      </w:r>
      <w:r>
        <w:rPr>
          <w:i/>
          <w:b/>
        </w:rPr>
        <w:t xml:space="preserve"> </w:t>
      </w:r>
      <w:r>
        <w:rPr>
          <w:i/>
          <w:b/>
        </w:rP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Country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FF0000"/>
              </w:rPr>
              <w:t xml:space="preserve"/>
            </w:r>
          </w:p>
        </w:tc>
      </w:tr>
    </w:tbl>
    <w:p>
      <w:pPr>
        <w:pStyle w:val="Heading4"/>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version3.7 in base price. Because we decided to keep the EXIOBASE production sector shares the same (and just stratify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BodyText"/>
      </w:pPr>
      <w:r>
        <w:rPr>
          <w:i/>
          <w:b/>
        </w:rPr>
        <w:t xml:space="preserve">Table S6: Same as Table S1 but now with base price shares of purchaser price per sector, and 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700"/>
        <w:gridCol w:w="778"/>
        <w:gridCol w:w="778"/>
        <w:gridCol w:w="1061"/>
        <w:gridCol w:w="599"/>
        <w:gridCol w:w="1315"/>
        <w:gridCol w:w="1061"/>
        <w:gridCol w:w="599"/>
        <w:gridCol w:w="1315"/>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BodyText"/>
      </w:pPr>
      <w:r>
        <w:rPr>
          <w:i/>
          <w:b/>
        </w:rPr>
        <w:t xml:space="preserve">Table S7: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quintile in base price and 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59"/>
        <w:gridCol w:w="954"/>
        <w:gridCol w:w="1315"/>
        <w:gridCol w:w="1374"/>
        <w:gridCol w:w="1315"/>
        <w:gridCol w:w="1374"/>
        <w:gridCol w:w="1032"/>
        <w:gridCol w:w="103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s2 (pm bp)</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889</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824</w:t>
            </w:r>
          </w:p>
        </w:tc>
      </w:tr>
      <w:tr>
        <w:trPr>
          <w:cantSplit/>
          <w:trHeight w:val="31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750</w:t>
            </w:r>
          </w:p>
        </w:tc>
      </w:tr>
      <w:tr>
        <w:trPr>
          <w:cantSplit/>
          <w:trHeight w:val="3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667</w:t>
            </w:r>
          </w:p>
        </w:tc>
      </w:tr>
      <w:tr>
        <w:trPr>
          <w:cantSplit/>
          <w:trHeight w:val="3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stratify it by income quintile, we end up with the same stratification which will result in the same stratified footprint as before.</w:t>
      </w:r>
    </w:p>
    <w:p>
      <w:pPr>
        <w:pStyle w:val="BodyText"/>
      </w:pPr>
      <w:r>
        <w:rPr>
          <w:i/>
          <w:b/>
        </w:rPr>
        <w:t xml:space="preserve">Table S8: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594"/>
        <w:gridCol w:w="996"/>
        <w:gridCol w:w="996"/>
        <w:gridCol w:w="996"/>
        <w:gridCol w:w="996"/>
        <w:gridCol w:w="996"/>
        <w:gridCol w:w="1055"/>
        <w:gridCol w:w="521"/>
        <w:gridCol w:w="521"/>
        <w:gridCol w:w="521"/>
        <w:gridCol w:w="521"/>
        <w:gridCol w:w="521"/>
      </w:tblGrid>
      <w:tr>
        <w:trPr>
          <w:cantSplit/>
          <w:trHeight w:val="29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 fd</w:t>
            </w:r>
          </w:p>
        </w:tc>
      </w:tr>
      <w:tr>
        <w:trPr>
          <w:cantSplit/>
          <w:trHeight w:val="266"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0.07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132</w:t>
            </w:r>
          </w:p>
        </w:tc>
      </w:tr>
      <w:tr>
        <w:trPr>
          <w:cantSplit/>
          <w:trHeight w:val="266"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208</w:t>
            </w:r>
          </w:p>
        </w:tc>
      </w:tr>
    </w:tbl>
    <w:p>
      <w:pPr>
        <w:pStyle w:val="Heading2"/>
      </w:pPr>
      <w:bookmarkStart w:id="35" w:name="european-household-expenditure-deciles"/>
      <w:r>
        <w:t xml:space="preserve">European household expenditure deciles</w:t>
      </w:r>
      <w:bookmarkEnd w:id="35"/>
    </w:p>
    <w:p>
      <w:pPr>
        <w:pStyle w:val="FirstParagraph"/>
      </w:pPr>
      <w:r>
        <w:t xml:space="preserve">Each national income quintile has a household final demand expenditure, household energy footprint and household carbon footprint estimate allocated to it, which represents the average in the quintile, after these initial steps. Then, to calculate European household expenditure deciles, we first ranked all these national income quintiles (140 in total: 28 European countries x 5 national income quintiles each) according to their mean household expenditure in PPS and aggregated the result to 10 European expenditure groups. This distribution allowed us to analyze the total European household energy and carbon footprints per these European expenditure deciles. We included only those countries with EUROSTAT HBS and EXIOBASE data in 2015, 2010, and 2005, which excludes Italy (no 2010 or 2015 necessary EUROSTAT HBS data, i.e. no data per income quintile) and Luxembourg (no 2010 EUROSTAT HBS data), but includes the UK, Norway and Turkey.</w:t>
      </w:r>
    </w:p>
    <w:p>
      <w:pPr>
        <w:pStyle w:val="BodyText"/>
      </w:pPr>
      <w:r>
        <w:t xml:space="preserve">Each national income quintile is thus allocated to one of the 10 European expenditure deciles (some national income quintiles at the boundaries between deciles are split between two deciles). Figure S1 shows the population share of each country in our bottom 4 European expenditure deciles in 2015. A 100% share thus means that all 5 national income quintiles of that country fall within the bottom 4 European expenditure deciles. This does not imply that there are no high-income households in those countries, but because this method uses average expenditure data from the national income quintiles, the aggregation cuts off the lower and higher tails of the respective national expenditure distributions.</w:t>
      </w:r>
    </w:p>
    <w:p>
      <w:pPr>
        <w:pStyle w:val="CaptionedFigure"/>
      </w:pPr>
      <w:r>
        <w:drawing>
          <wp:inline>
            <wp:extent cx="5943600" cy="2971800"/>
            <wp:effectExtent b="0" l="0" r="0" t="0"/>
            <wp:docPr descr="Figure S1: Percentage of population in bottom 4 European expenditure deciles in 2015." title="" id="1" name="Picture"/>
            <a:graphic>
              <a:graphicData uri="http://schemas.openxmlformats.org/drawingml/2006/picture">
                <pic:pic>
                  <pic:nvPicPr>
                    <pic:cNvPr descr="../figures/unnamed-chunk-3-1.png" id="0" name="Picture"/>
                    <pic:cNvPicPr>
                      <a:picLocks noChangeArrowheads="1" noChangeAspect="1"/>
                    </pic:cNvPicPr>
                  </pic:nvPicPr>
                  <pic:blipFill>
                    <a:blip r:embed="rId36"/>
                    <a:stretch>
                      <a:fillRect/>
                    </a:stretch>
                  </pic:blipFill>
                  <pic:spPr bwMode="auto">
                    <a:xfrm>
                      <a:off x="0" y="0"/>
                      <a:ext cx="5943600" cy="2971800"/>
                    </a:xfrm>
                    <a:prstGeom prst="rect">
                      <a:avLst/>
                    </a:prstGeom>
                    <a:noFill/>
                    <a:ln w="9525">
                      <a:noFill/>
                      <a:headEnd/>
                      <a:tailEnd/>
                    </a:ln>
                  </pic:spPr>
                </pic:pic>
              </a:graphicData>
            </a:graphic>
          </wp:inline>
        </w:drawing>
      </w:r>
    </w:p>
    <w:p>
      <w:pPr>
        <w:pStyle w:val="ImageCaption"/>
      </w:pPr>
      <w:r>
        <w:rPr>
          <w:i/>
          <w:b/>
        </w:rPr>
        <w:t xml:space="preserve">Figure S1: Percentage of population in bottom 4 European expenditure deciles in 2015.</w:t>
      </w:r>
    </w:p>
    <w:p>
      <w:pPr>
        <w:pStyle w:val="Heading2"/>
      </w:pPr>
      <w:bookmarkStart w:id="37" w:name="limitations"/>
      <w:r>
        <w:t xml:space="preserve">Limitations</w:t>
      </w:r>
      <w:bookmarkEnd w:id="37"/>
    </w:p>
    <w:p>
      <w:pPr>
        <w:pStyle w:val="FirstParagraph"/>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(29)</w:t>
      </w:r>
      <w:r>
        <w:t xml:space="preserve">. Some types of households may also be excluded from the samples, including super-rich households, for example in Germany, which excludes households with over €18,000 monthly net income</w:t>
      </w:r>
      <w:r>
        <w:t xml:space="preserve"> </w:t>
      </w:r>
      <w:r>
        <w:t xml:space="preserve">(29)</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(29)</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We used EXIOBASE as the EE-MRIO for this study because of its European focus, with nearly all countries in the EUROSTAT HBS also found as stand-alone countries in EXIOBASE, its detailed satellite extension data, and its year coverage (specifically version3.7, industry-by-industry), but there are well known limitations when using and selecting an EE-MRIO</w:t>
      </w:r>
      <w:r>
        <w:t xml:space="preserve"> </w:t>
      </w:r>
      <w:r>
        <w:t xml:space="preserve">(30)</w:t>
      </w:r>
      <w:r>
        <w:t xml:space="preserve">. The production sectors in EXIOBASE are harmonized across countries and years, but needing to map the EUROSTAT HBS to EXIOBASE meant that the most recent year of 2015 could only use the industry-by-industry version of EXIOBASE version3.7. This version assumes fixed product sales. Furthermore, because EXIOBASE version3.7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We also show 2010 results using the product-by-product version of EXIOBASE version3.7 in the final section of this SI document.</w:t>
      </w:r>
    </w:p>
    <w:p>
      <w:pPr>
        <w:pStyle w:val="BodyText"/>
      </w:pPr>
      <w:r>
        <w:t xml:space="preserve">The correspondence between the EUROSTAT HBS COICOP consumption categories and the industry production sectors in EXIOBASE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stratifying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stratification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direct and indirect supply chain</w:t>
      </w:r>
      <w:r>
        <w:t xml:space="preserve">’</w:t>
      </w:r>
      <w:r>
        <w:t xml:space="preserve"> </w:t>
      </w:r>
      <w:r>
        <w:t xml:space="preserve">intensities, but stays faithful to the original HBS consumption category shares of total HBS expenditure. We show the alternative method below, and some results in the last sections of this SI document. We also stay at a relatively aggregated level for our energy and carbon footprints, as our primary goal was to connect aspects of the aggregate European household environmental footprint distribution with the decarbonisation and minimum energy requirement scenarios. Work specifically investigating distributional aspects of the European carbon footprint, sometimes at a finer sectoral level than we do here, can be found in the refs.</w:t>
      </w:r>
      <w:r>
        <w:t xml:space="preserve"> </w:t>
      </w:r>
      <w:r>
        <w:t xml:space="preserve">(31)</w:t>
      </w:r>
      <w:r>
        <w:t xml:space="preserve">,</w:t>
      </w:r>
      <w:r>
        <w:t xml:space="preserve"> </w:t>
      </w:r>
      <w:r>
        <w:t xml:space="preserve">(32)</w:t>
      </w:r>
      <w:r>
        <w:t xml:space="preserve">,</w:t>
      </w:r>
      <w:r>
        <w:t xml:space="preserve"> </w:t>
      </w:r>
      <w:r>
        <w:t xml:space="preserve">(33)</w:t>
      </w:r>
      <w:r>
        <w:t xml:space="preserve"> </w:t>
      </w:r>
      <w:r>
        <w:t xml:space="preserve">and</w:t>
      </w:r>
      <w:r>
        <w:t xml:space="preserve"> </w:t>
      </w:r>
      <w:r>
        <w:t xml:space="preserve">(34)</w:t>
      </w:r>
      <w:r>
        <w:t xml:space="preserve">.</w:t>
      </w:r>
    </w:p>
    <w:p>
      <w:pPr>
        <w:pStyle w:val="BodyText"/>
      </w:pPr>
      <w:r>
        <w:t xml:space="preserve">Finally, the main limitation of the European expenditure deciles is the fact that they use average expenditure data from the national income quintiles. This aggregation cuts off the lower and higher tails of the respective national expenditure distributions. Our constructed European expenditure deciles thus likely</w:t>
      </w:r>
      <w:r>
        <w:t xml:space="preserve"> </w:t>
      </w:r>
      <w:r>
        <w:rPr>
          <w:i/>
        </w:rPr>
        <w:t xml:space="preserve">under</w:t>
      </w:r>
      <w:r>
        <w:t xml:space="preserve">estimate European expenditure inequality. Also, when calculating energy and carbon intensities per harmonized European expenditure decile, and comparing them across deciles, one aspect not harmonized is the possible effect of different national energy subsidy levels. Varying energy subsidy levels between countries could play a role in the different energy and carbon intensities we observe per European expenditure deciles</w:t>
      </w:r>
      <w:r>
        <w:t xml:space="preserve"> </w:t>
      </w:r>
      <w:r>
        <w:t xml:space="preserve">(35)</w:t>
      </w:r>
      <w:r>
        <w:t xml:space="preserve">.</w:t>
      </w:r>
    </w:p>
    <w:p>
      <w:pPr>
        <w:pStyle w:val="Heading3"/>
      </w:pPr>
      <w:bookmarkStart w:id="38" w:name="Xc9cc011df3901412df578718cd85618f03e30b3"/>
      <w:r>
        <w:t xml:space="preserve">Alternative method for income-stratified national household energy and carbon footprints</w:t>
      </w:r>
      <w:bookmarkEnd w:id="38"/>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stratified by income quantile. The alternative method is to keep the consumption category shares of total HBS expenditure the same as they are found in the HBS. This means taking the total sum of household final demand expenditure from the EE-MRIO and stratifying it first based on the share of each income quantile’s consumption expenditure of the total consumption expenditure as found in the HBS, before stratifying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stratified by income quantile), because a different amount of final demand expenditure in each sector is now multiplied by the same</w:t>
      </w:r>
      <w:r>
        <w:t xml:space="preserve"> </w:t>
      </w:r>
      <w:r>
        <w:t xml:space="preserve">‘</w:t>
      </w:r>
      <w:r>
        <w:t xml:space="preserve">direct and indirect supply chain</w:t>
      </w:r>
      <w:r>
        <w:t xml:space="preserve">’</w:t>
      </w:r>
      <w:r>
        <w:t xml:space="preserve"> </w:t>
      </w:r>
      <w:r>
        <w:t xml:space="preserve">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stratify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11"/>
          <w:ilvl w:val="0"/>
        </w:numPr>
      </w:pPr>
      <w:r>
        <w:t xml:space="preserve">Trade and Transport margin tables, Taxes less Subsidies tables (National Accounts &gt; Annual National Accounts &gt; Supply and Use Tables &gt; SUT Indicators):</w:t>
      </w:r>
      <w:r>
        <w:t xml:space="preserve"> </w:t>
      </w:r>
      <w:hyperlink r:id="rId39">
        <w:r>
          <w:rPr>
            <w:rStyle w:val="Hyperlink"/>
          </w:rPr>
          <w:t xml:space="preserve">https://stats.oecd.org/index.aspx?queryid=84864#</w:t>
        </w:r>
      </w:hyperlink>
      <w:r>
        <w:t xml:space="preserve"> </w:t>
      </w:r>
      <w:r>
        <w:t xml:space="preserve">(36)</w:t>
      </w:r>
    </w:p>
    <w:p>
      <w:pPr>
        <w:numPr>
          <w:numId w:val="1012"/>
          <w:ilvl w:val="1"/>
        </w:numPr>
      </w:pPr>
      <w:r>
        <w:t xml:space="preserve">Trade and transport margins in percentage of final consumption expenditure by households: Export as text file (csv) - customize to include years 2005 to 2015 [accessed on: 15-04-2020]</w:t>
      </w:r>
    </w:p>
    <w:p>
      <w:pPr>
        <w:numPr>
          <w:numId w:val="1012"/>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BodyText"/>
      </w:pPr>
      <w:r>
        <w:rPr>
          <w:i/>
          <w:b/>
        </w:rPr>
        <w:t xml:space="preserve">Table S9: Same as Table S1 but now with base price shares of purchaser price per sector, and 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rPr>
          <w:i/>
          <w:b/>
        </w:rPr>
        <w:t xml:space="preserve">Table S10: Income quintile shares per sector in base price, with new</w:t>
      </w:r>
      <w:r>
        <w:rPr>
          <w:i/>
          <w:b/>
        </w:rPr>
        <w:t xml:space="preserve"> </w:t>
      </w:r>
      <w:r>
        <w:rPr>
          <w:i/>
          <w:b/>
        </w:rPr>
        <w:t xml:space="preserve">‘</w:t>
      </w:r>
      <w:r>
        <w:rPr>
          <w:i/>
          <w:b/>
        </w:rPr>
        <w:t xml:space="preserve">pps hh</w:t>
      </w:r>
      <w:r>
        <w:rPr>
          <w:i/>
          <w:b/>
        </w:rPr>
        <w:t xml:space="preserve">’</w:t>
      </w:r>
      <w:r>
        <w:rPr>
          <w:i/>
          <w:b/>
        </w:rPr>
        <w:t xml:space="preserve"> </w:t>
      </w:r>
      <w:r>
        <w:rPr>
          <w:i/>
          <w:b/>
        </w:rPr>
        <w:t xml:space="preserve">per income quintile in base price and new sectoral pm values in base price (</w:t>
      </w:r>
      <w:r>
        <w:rPr>
          <w:i/>
          <w:b/>
        </w:rPr>
        <w:t xml:space="preserve">‘</w:t>
      </w:r>
      <w:r>
        <w:rPr>
          <w:i/>
          <w:b/>
        </w:rPr>
        <w:t xml:space="preserve">pps hh bp</w:t>
      </w:r>
      <w:r>
        <w:rPr>
          <w:i/>
          <w:b/>
        </w:rPr>
        <w:t xml:space="preserve">’</w:t>
      </w:r>
      <w:r>
        <w:rPr>
          <w:i/>
          <w:b/>
        </w:rPr>
        <w:t xml:space="preserve"> </w:t>
      </w:r>
      <w:r>
        <w:rPr>
          <w:i/>
          <w:b/>
        </w:rPr>
        <w:t xml:space="preserve">is the sum of</w:t>
      </w:r>
      <w:r>
        <w:rPr>
          <w:i/>
          <w:b/>
        </w:rPr>
        <w:t xml:space="preserve"> </w:t>
      </w:r>
      <w:r>
        <w:rPr>
          <w:i/>
          <w:b/>
        </w:rPr>
        <w:t xml:space="preserve">‘</w:t>
      </w:r>
      <w:r>
        <w:rPr>
          <w:i/>
          <w:b/>
        </w:rPr>
        <w:t xml:space="preserve">s1 (pps hh bp)</w:t>
      </w:r>
      <w:r>
        <w:rPr>
          <w:i/>
          <w:b/>
        </w:rPr>
        <w:t xml:space="preserve">’</w:t>
      </w:r>
      <w:r>
        <w:rPr>
          <w:i/>
          <w:b/>
        </w:rPr>
        <w:t xml:space="preserve"> </w:t>
      </w:r>
      <w:r>
        <w:rPr>
          <w:i/>
          <w:b/>
        </w:rPr>
        <w:t xml:space="preserve">and</w:t>
      </w:r>
      <w:r>
        <w:rPr>
          <w:i/>
          <w:b/>
        </w:rPr>
        <w:t xml:space="preserve"> </w:t>
      </w:r>
      <w:r>
        <w:rPr>
          <w:i/>
          <w:b/>
        </w:rPr>
        <w:t xml:space="preserve">‘</w:t>
      </w:r>
      <w:r>
        <w:rPr>
          <w:i/>
          <w:b/>
        </w:rPr>
        <w:t xml:space="preserve">s2 (pps hh bp)</w:t>
      </w:r>
      <w:r>
        <w:rPr>
          <w:i/>
          <w:b/>
        </w:rPr>
        <w:t xml:space="preserve">’</w:t>
      </w:r>
      <w:r>
        <w:rPr>
          <w:i/>
          <w:b/>
        </w:rP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BodyText"/>
      </w:pPr>
      <w:r>
        <w:rPr>
          <w:i/>
          <w:b/>
        </w:rPr>
        <w:t xml:space="preserve">Table S11: Same as Table S9 but with total EE-MRIO household final demand in purchaser price 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stratified by income quintile.</w:t>
      </w:r>
    </w:p>
    <w:p>
      <w:pPr>
        <w:pStyle w:val="BodyText"/>
      </w:pPr>
      <w:r>
        <w:rPr>
          <w:i/>
          <w:b/>
        </w:rPr>
        <w:t xml:space="preserve">Table S12: EE-MRIO 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52"/>
        <w:gridCol w:w="1152"/>
        <w:gridCol w:w="1152"/>
        <w:gridCol w:w="1152"/>
        <w:gridCol w:w="1152"/>
        <w:gridCol w:w="1152"/>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w:t>
      </w:r>
      <w:r>
        <w:t xml:space="preserve"> </w:t>
      </w:r>
      <w:r>
        <w:t xml:space="preserve">‘</w:t>
      </w:r>
      <w:r>
        <w:t xml:space="preserve">direct and indirect supply chain</w:t>
      </w:r>
      <w:r>
        <w:t xml:space="preserve">’</w:t>
      </w:r>
      <w:r>
        <w:t xml:space="preserve"> </w:t>
      </w:r>
      <w:r>
        <w:t xml:space="preserve">intensity vector (</w:t>
      </w:r>
      <w:r>
        <w:t xml:space="preserve">‘</w:t>
      </w:r>
      <w:r>
        <w:t xml:space="preserve">TIV</w:t>
      </w:r>
      <w:r>
        <w:t xml:space="preserve">’</w:t>
      </w:r>
      <w:r>
        <w:t xml:space="preserve">), we calculate the footprint stratified by income quintile, but our total footprint is different than in the other methodology because now different amounts of EE-MRIO household final demand expenditure per sector are being multiplied by the same</w:t>
      </w:r>
      <w:r>
        <w:t xml:space="preserve"> </w:t>
      </w:r>
      <w:r>
        <w:t xml:space="preserve">‘</w:t>
      </w:r>
      <w:r>
        <w:t xml:space="preserve">direct and indirect supply chain</w:t>
      </w:r>
      <w:r>
        <w:t xml:space="preserve">’</w:t>
      </w:r>
      <w:r>
        <w:t xml:space="preserve"> </w:t>
      </w:r>
      <w:r>
        <w:t xml:space="preserve">intensity vector as previously calculated inside the EE-MRIO (compare Table S13 with Table S3).</w:t>
      </w:r>
    </w:p>
    <w:p>
      <w:pPr>
        <w:pStyle w:val="BodyText"/>
      </w:pPr>
      <w:r>
        <w:rPr>
          <w:i/>
          <w:b/>
        </w:rPr>
        <w:t xml:space="preserve">Table S13: EE-MRIO household final demand per quintile and sector multiplied by the TIV to 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40" w:name="supplementary-results"/>
      <w:r>
        <w:t xml:space="preserve">Supplementary Results</w:t>
      </w:r>
      <w:bookmarkEnd w:id="40"/>
    </w:p>
    <w:p>
      <w:pPr>
        <w:pStyle w:val="FirstParagraph"/>
      </w:pPr>
      <w:r>
        <w:t xml:space="preserve">We ran the same analysis for the years 2015, 2010 and 2005. We presented only 2015 in the main paper as we focused more on the distributional aspect of the environmental footprints and their relationship to decarbonisation scenarios and minimum energy, rather than the time component. As mentioned in the</w:t>
      </w:r>
      <w:r>
        <w:t xml:space="preserve"> </w:t>
      </w:r>
      <w:r>
        <w:t xml:space="preserve">‘</w:t>
      </w:r>
      <w:r>
        <w:t xml:space="preserve">limitations</w:t>
      </w:r>
      <w:r>
        <w:t xml:space="preserve">’</w:t>
      </w:r>
      <w:r>
        <w:t xml:space="preserve"> </w:t>
      </w:r>
      <w:r>
        <w:t xml:space="preserve">section above, caution is needed when comparing the EUROSTAT HBS data over time, as well as the version of EXIOBASE we used (version3.7, industry-by-industry). We also estimated the environmental footprints per European expenditure decile using the product-by-product version of EXIOBASE for the year 2010, and then the year 2015 again using the alternative methodology that was explained in the supplementary methods sections in this document above.</w:t>
      </w:r>
    </w:p>
    <w:p>
      <w:pPr>
        <w:pStyle w:val="BodyText"/>
      </w:pPr>
      <w:r>
        <w:t xml:space="preserve">We show each of these in turn in the format of Figure 1 from the main paper: 1) the year 2005 using the main paper method and EXIOBASE industry-by-industry version, then 2) the year 2010 using the main paper method and EXIOBASE industry-by-industry version, 3) the year 2010 using the main paper method but EXIOBASE product-by-product version, and finally 4) the year 2015 using the alternative methodology and EXIOBASE industry-by-industry version.</w:t>
      </w:r>
    </w:p>
    <w:p>
      <w:pPr>
        <w:pStyle w:val="Heading2"/>
      </w:pPr>
      <w:bookmarkStart w:id="41" w:name="X8ab64a1c4293e2b6cca0857d4ded26fd043ee47"/>
      <w:r>
        <w:t xml:space="preserve">Year 2005, using main method, EXIOBASE industry-by-industry</w:t>
      </w:r>
      <w:bookmarkEnd w:id="41"/>
    </w:p>
    <w:p>
      <w:pPr>
        <w:pStyle w:val="FirstParagraph"/>
      </w:pPr>
      <w:r>
        <w:t xml:space="preserve">In 2005, total household final demand expenditure was 5.0359611 trn€, the energy footprint 102.7166541 EJ, and the carbon footprint 4365.7483981 MtCO2eq. We estimated the 10:10 ratios at 12.3 for expenditure, 5.2 for the energy footprint, and 3.6 for the carbon footprint. Total expenditure ranged from 0.1 trn€ to 1.2 trn€ (or 2830€ to 34914€ per adult equivalent) across bottom and top decile, the energy footprint from 3.7 EJ to 19.1 EJ (or 111.3 GJ/ae to 577.2 GJ/ae), and the carbon footprint from 211.1 MtCO2eq to 756.9 MtCO2eq (or 6.4 tCO2eq/ae to 22.9 tCO2eq/ae). The average energy intensity of consumption was 39.3 MJ/€ in the bottom decile and 16.5 MJ/€ in the top decile. The carbon intensity of energy was 57.2 gCO2eq/TJ in the bottom decile, and 39.6 gCO2eq/TJ in the top decile.</w:t>
      </w:r>
    </w:p>
    <w:p>
      <w:pPr>
        <w:pStyle w:val="CaptionedFigure"/>
      </w:pPr>
      <w:r>
        <w:drawing>
          <wp:inline>
            <wp:extent cx="5943600" cy="3962400"/>
            <wp:effectExtent b="0" l="0" r="0" t="0"/>
            <wp:docPr descr="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S2: Household expenditure and environmental footprints and intensities across European expenditure deciles in 2005.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3" w:name="X5d9efcd36e4367972a52fe6015f056da2f63880"/>
      <w:r>
        <w:t xml:space="preserve">Year 2010, using main method, EXIOBASE industry-by-industry</w:t>
      </w:r>
      <w:bookmarkEnd w:id="43"/>
    </w:p>
    <w:p>
      <w:pPr>
        <w:pStyle w:val="FirstParagraph"/>
      </w:pPr>
      <w:r>
        <w:t xml:space="preserve">In 2010, total household final demand expenditure was 5.6465553 trn€, the energy footprint 97.5739468 EJ, and the carbon footprint 4090.5716883 MtCO2eq. We estimated the 10:10 ratios at 7.5 for expenditure, 3.6 for the energy footprint, and 2.8 for the carbon footprint. Total expenditure ranged from 0.2 trn€ to 1.1 trn€ (or 4693€ to 35258€ per adult equivalent) across bottom and top decile, the energy footprint from 4.6 EJ to 16.4 EJ (or 140.5 GJ/ae to 503.8 GJ/ae), and the carbon footprint from 247.8 MtCO2eq to 689.6 MtCO2eq (or 7.6 tCO2eq/ae to 21.2 tCO2eq/ae). The average energy intensity of consumption was 29.9 MJ/€ in the bottom decile and 14.3 MJ/€ in the top decile. The carbon intensity of energy was 54.3 gCO2eq/TJ in the bottom decile, and 42.1 gCO2eq/TJ in the top decile.</w:t>
      </w:r>
    </w:p>
    <w:p>
      <w:pPr>
        <w:pStyle w:val="CaptionedFigure"/>
      </w:pPr>
      <w:r>
        <w:drawing>
          <wp:inline>
            <wp:extent cx="5943600" cy="3962400"/>
            <wp:effectExtent b="0" l="0" r="0" t="0"/>
            <wp:docPr descr="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S3: Household expenditure and environmental footprints and intensities across European expenditure deciles in 2010.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5" w:name="X887914c40d3a64d6bed53f1a003de54650ba309"/>
      <w:r>
        <w:t xml:space="preserve">Year 2010, using main method, EXIOBASE product-by-product</w:t>
      </w:r>
      <w:bookmarkEnd w:id="45"/>
    </w:p>
    <w:p>
      <w:pPr>
        <w:pStyle w:val="FirstParagraph"/>
      </w:pPr>
      <w:r>
        <w:t xml:space="preserve">In 2010 but using the product-by-product version of EXIOBASE, total household final demand expenditure was 5.5781797 trn€, the energy footprint 94.6093679 EJ, and the carbon footprint 3957.4699948 MtCO2eq. We estimated the 10:10 ratios at 7.5 for expenditure, 4.1 for the energy footprint, and 3.3 for the carbon footprint. Total expenditure ranged from 0.2 trn€ to 1.1 trn€ (or 4634€ to 34786€ per adult equivalent) across bottom and top decile, the energy footprint from 3.9 EJ to 16 EJ (or 120.2 GJ/ae to 493 GJ/ae), and the carbon footprint from 202.9 MtCO2eq to 670.4 MtCO2eq (or 6.2 tCO2eq/ae to 20.6 tCO2eq/ae). The average energy intensity of consumption was 25.9 MJ/€ in the bottom decile and 14.2 MJ/€ in the top decile. The carbon intensity of energy was 51.9 gCO2eq/TJ in the bottom decile, and 41.8 gCO2eq/TJ in the top decile.</w:t>
      </w:r>
    </w:p>
    <w:p>
      <w:pPr>
        <w:pStyle w:val="CaptionedFigure"/>
      </w:pPr>
      <w:r>
        <w:drawing>
          <wp:inline>
            <wp:extent cx="5943600" cy="3962400"/>
            <wp:effectExtent b="0" l="0" r="0" t="0"/>
            <wp:docPr descr="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S4: Household expenditure and environmental footprints and intensities across European expenditure deciles in 2010 (product-by-product EXIOBASE version).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2"/>
      </w:pPr>
      <w:bookmarkStart w:id="47" w:name="X0b073eea84b9d44b8e1ae7d47bb00d31b889183"/>
      <w:r>
        <w:t xml:space="preserve">Year 2015, using alternative method, EXIOBASE industry-by-industry</w:t>
      </w:r>
      <w:bookmarkEnd w:id="47"/>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 title="" id="1" name="Picture"/>
            <a:graphic>
              <a:graphicData uri="http://schemas.openxmlformats.org/drawingml/2006/picture">
                <pic:pic>
                  <pic:nvPicPr>
                    <pic:cNvPr descr="../figures/figureS5-test-1.png" id="0" name="Picture"/>
                    <pic:cNvPicPr>
                      <a:picLocks noChangeArrowheads="1" noChangeAspect="1"/>
                    </pic:cNvPicPr>
                  </pic:nvPicPr>
                  <pic:blipFill>
                    <a:blip r:embed="rId48"/>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rPr>
          <w:i/>
          <w:b/>
        </w:rPr>
        <w:t xml:space="preserve">Figure S5: Household expenditure and environmental footprints and intensities across European expenditure deciles in 2015 (EXIOBASE industry-by-industry version, but using alternative method). Total expenditures (a), energy footprint (b), and carbon footprint (c) per decile. Energy intensity of consumption as energy footprint per expenditure (d), carbon intensity as carbon footprint per expenditure (e), and carbon intensity of energy as carbon footprint per energy footprint (f).</w:t>
      </w:r>
    </w:p>
    <w:p>
      <w:pPr>
        <w:pStyle w:val="Heading1"/>
      </w:pPr>
      <w:bookmarkStart w:id="49" w:name="units-of-analysis"/>
      <w:r>
        <w:t xml:space="preserve">Units of analysis</w:t>
      </w:r>
      <w:bookmarkEnd w:id="49"/>
    </w:p>
    <w:p>
      <w:pPr>
        <w:pStyle w:val="FirstParagraph"/>
      </w:pPr>
      <w:r>
        <w:t xml:space="preserve">Through the main paper we use household per adult equivalent as our unit of analysis, following the EUROSTAT HBS. This meant that we adjusted decarbonisation scenario final energy numbers from total per capita to household per adult equivalent to better compare them with our environmental footprint estimates. We adjusted them for 1) the household share of the total footprint, and 2) the adult equivalent share of the total population.</w:t>
      </w:r>
    </w:p>
    <w:p>
      <w:pPr>
        <w:pStyle w:val="BodyText"/>
      </w:pPr>
      <w:r>
        <w:t xml:space="preserve">As a numerical example, we adjust a total final energy of 53 GJ per capita from the Low Energy Demand (LED) scenario (Grubler et al. (2018)</w:t>
      </w:r>
      <w:r>
        <w:t xml:space="preserve"> </w:t>
      </w:r>
      <w:r>
        <w:t xml:space="preserve">(37)</w:t>
      </w:r>
      <w:r>
        <w:t xml:space="preserve">), first by the household share of the total European energy footprint in 2015 (around 0.63, calculated in EXIOBASE), and then the share of total adult equivalents in the total European population in 2015 (also around 0.6280582, calculated using the EUROSTAT HBS, number of households per country, and population data per country). A total final energy of 53 GJ/capita is therefore adjusted to a household final energy of 53 GJ/adult equivalent in Europe ((53 total GJ/capita * 0.63 household share of total footprint)/0.63 adult equivalent share of total population = 53 household GJ/adult equivalent).</w:t>
      </w:r>
    </w:p>
    <w:p>
      <w:pPr>
        <w:pStyle w:val="BodyText"/>
      </w:pPr>
      <w:r>
        <w:t xml:space="preserve">The decarbonisation scenario final energy numbers in 2050, presented in Table 1 of the main paper, were originally in total GJ per capita: 94 GJ/capita (SSP2-1.9), 87 GJ/capita (SSP1-1.9), 84 GJ/capita (IEA ETP B2DS), 64 GJ/capita (GEA-efficiency), 53 GJ/capita (LED), and 15.3 GJ/capita (DLE). Because of the similar relative shares of the household part of the total European energy footprint (around 0.63), and the adult equivalent share of the total population in our sample (also around 0.63), these final energy numbers end up close to the same when adjusted to household per adult equivalent. The original numbers for the SSP and GEA-efficiency scenarios are from the International Institute for Applied Systems Analysis (IIASA) scenario database</w:t>
      </w:r>
      <w:r>
        <w:t xml:space="preserve"> </w:t>
      </w:r>
      <w:r>
        <w:t xml:space="preserve">(38)</w:t>
      </w:r>
      <w:r>
        <w:t xml:space="preserve"> </w:t>
      </w:r>
      <w:r>
        <w:t xml:space="preserve">(39)</w:t>
      </w:r>
      <w:r>
        <w:t xml:space="preserve">. The SSP total GJ/capita numbers are for the OECD region, while the GEA-efficiency total GJ/capita number is for their</w:t>
      </w:r>
      <w:r>
        <w:t xml:space="preserve"> </w:t>
      </w:r>
      <w:r>
        <w:t xml:space="preserve">‘</w:t>
      </w:r>
      <w:r>
        <w:t xml:space="preserve">West EU</w:t>
      </w:r>
      <w:r>
        <w:t xml:space="preserve">’</w:t>
      </w:r>
      <w:r>
        <w:t xml:space="preserve"> </w:t>
      </w:r>
      <w:r>
        <w:t xml:space="preserve">region. The SSP numbers are from the MESSAGE-GLOBIOM model, and the GEA-efficiency number is from the MESSAGE model. The LED total GJ/capita number is from Grubler et al. (2018)</w:t>
      </w:r>
      <w:r>
        <w:t xml:space="preserve"> </w:t>
      </w:r>
      <w:r>
        <w:t xml:space="preserve">(37)</w:t>
      </w:r>
      <w:r>
        <w:t xml:space="preserve">, and the IEA ETP B2DS total GJ/capita number is from the Supplementary Table 27 in the supplementary information document of Grubler et al. (2018)</w:t>
      </w:r>
      <w:r>
        <w:t xml:space="preserve"> </w:t>
      </w:r>
      <w:r>
        <w:t xml:space="preserve">(37)</w:t>
      </w:r>
      <w:r>
        <w:t xml:space="preserve">. The LED and IEA ETP B2DS total GJ/capita numbers are both for the Global North region. We also refer in the main paper to the LED numbers for the Global South (20 total GJ/capita) and the world (27 total GJ/capita). Finally, the DLE number is one number for the world, and while they give a range of 13-18.4 total GJ/capita, we take their average of 15.3 total GJ/capita</w:t>
      </w:r>
      <w:r>
        <w:t xml:space="preserve"> </w:t>
      </w:r>
      <w:r>
        <w:t xml:space="preserve">(40)</w:t>
      </w:r>
      <w:r>
        <w:t xml:space="preserve">.</w:t>
      </w:r>
    </w:p>
    <w:p>
      <w:pPr>
        <w:pStyle w:val="BodyText"/>
      </w:pPr>
      <w:r>
        <w:t xml:space="preserve">Our European expenditure deciles were constructed having the exact same number of adult equivalents per decile. When comparing with external per capita numbers, however, there is not the same number of population per decile because of differences in non-adult-equivalent-normalized people per household between income quintiles per country, and between countries.</w:t>
      </w:r>
    </w:p>
    <w:p>
      <w:pPr>
        <w:pStyle w:val="BodyText"/>
      </w:pPr>
      <w:r>
        <w:t xml:space="preserve">Because we have the number of adult equivalents per country, and the total population per country, we could use both to calculate the total population per adult equivalent ratio for each country. We applied these ratios to the adult equivalents from different countries making up each European expenditure decile, so we could estimate total population per European expenditure decile taking into account differences in household per capita between countries, but not between income quintiles within each country. Figure S6 shows these population estimates per European expenditure decile. We use this to re-estimate our energy footprint per European expenditure decile in per capita terms, and then re-create Figure 5 from the main paper (Figure S7 below) in per capita terms.</w:t>
      </w:r>
    </w:p>
    <w:p>
      <w:pPr>
        <w:pStyle w:val="CaptionedFigure"/>
      </w:pPr>
      <w:r>
        <w:drawing>
          <wp:inline>
            <wp:extent cx="4587290" cy="3669832"/>
            <wp:effectExtent b="0" l="0" r="0" t="0"/>
            <wp:docPr descr="Figure S6: Number of adult equivalents per European expenditure decile and estimated number of people per European expenditure decile." title="" id="1" name="Picture"/>
            <a:graphic>
              <a:graphicData uri="http://schemas.openxmlformats.org/drawingml/2006/picture">
                <pic:pic>
                  <pic:nvPicPr>
                    <pic:cNvPr descr="../figures/figureS6-1.png" id="0" name="Picture"/>
                    <pic:cNvPicPr>
                      <a:picLocks noChangeArrowheads="1" noChangeAspect="1"/>
                    </pic:cNvPicPr>
                  </pic:nvPicPr>
                  <pic:blipFill>
                    <a:blip r:embed="rId50"/>
                    <a:stretch>
                      <a:fillRect/>
                    </a:stretch>
                  </pic:blipFill>
                  <pic:spPr bwMode="auto">
                    <a:xfrm>
                      <a:off x="0" y="0"/>
                      <a:ext cx="4587290" cy="3669832"/>
                    </a:xfrm>
                    <a:prstGeom prst="rect">
                      <a:avLst/>
                    </a:prstGeom>
                    <a:noFill/>
                    <a:ln w="9525">
                      <a:noFill/>
                      <a:headEnd/>
                      <a:tailEnd/>
                    </a:ln>
                  </pic:spPr>
                </pic:pic>
              </a:graphicData>
            </a:graphic>
          </wp:inline>
        </w:drawing>
      </w:r>
    </w:p>
    <w:p>
      <w:pPr>
        <w:pStyle w:val="ImageCaption"/>
      </w:pPr>
      <w:r>
        <w:rPr>
          <w:i/>
          <w:b/>
        </w:rPr>
        <w:t xml:space="preserve">Figure S6: Number of adult equivalents per European expenditure decile and estimated number of people per European expenditure decile.</w:t>
      </w:r>
    </w:p>
    <w:p>
      <w:pPr>
        <w:pStyle w:val="Heading2"/>
      </w:pPr>
      <w:bookmarkStart w:id="51" w:name="Xf329215321af9ee65f150ab66003812d0079232"/>
      <w:r>
        <w:t xml:space="preserve">Figure 5 from main paper in household final energy per capita</w:t>
      </w:r>
      <w:bookmarkEnd w:id="51"/>
    </w:p>
    <w:p>
      <w:pPr>
        <w:pStyle w:val="FirstParagraph"/>
      </w:pPr>
      <w:r>
        <w:t xml:space="preserve">Here we re-create Figure 5 from the main paper after estimating our energy footprint per European expenditure decile in per capita terms (using the population per decile estimates from above), instead of per adult equivalent terms. Now we only adjust the decarbonisation scenario final energy numbers from total GJ per capita to household GJ per capita, so, for example, 53 total GJ/capita becomes: 53 * 0.63 = 33 household GJ/capita.</w:t>
      </w:r>
    </w:p>
    <w:p>
      <w:pPr>
        <w:pStyle w:val="CaptionedFigure"/>
      </w:pPr>
      <w:r>
        <w:drawing>
          <wp:inline>
            <wp:extent cx="5943600" cy="4669971"/>
            <wp:effectExtent b="0" l="0" r="0" t="0"/>
            <wp:docPr descr="Figure S7: Mean energy available for Europe in decarbonisation scenarios, positioned in option space between a range of minimum energy requirements and range of associated maximum inequality. All expenditure deciles have ‘best technology’ already. Unit of analysis is household GJ per capita. Final energy (in household GJ per capita in 2050) from two more SSP scenarios (which do not necessarily hit the 1.5°C target) are added from the IIASA scenario database (38) for comparison: SSP3-3.4 (MESSAGE-GLOBIOM, OECD), SSP4-1.9 (WITCH-GLOBIOM, OECD)." title="" id="1" name="Picture"/>
            <a:graphic>
              <a:graphicData uri="http://schemas.openxmlformats.org/drawingml/2006/picture">
                <pic:pic>
                  <pic:nvPicPr>
                    <pic:cNvPr descr="../figures/unnamed-chunk-8-1.png" id="0" name="Picture"/>
                    <pic:cNvPicPr>
                      <a:picLocks noChangeArrowheads="1" noChangeAspect="1"/>
                    </pic:cNvPicPr>
                  </pic:nvPicPr>
                  <pic:blipFill>
                    <a:blip r:embed="rId52"/>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rPr>
          <w:i/>
          <w:b/>
        </w:rPr>
        <w:t xml:space="preserve">Figure S7: Mean energy available for Europe in decarbonisation scenarios, positioned in option space between a range of minimum energy requirements and range of associated maximum inequality. All expenditure deciles have</w:t>
      </w:r>
      <w:r>
        <w:rPr>
          <w:i/>
          <w:b/>
        </w:rPr>
        <w:t xml:space="preserve"> </w:t>
      </w:r>
      <w:r>
        <w:rPr>
          <w:i/>
          <w:b/>
        </w:rPr>
        <w:t xml:space="preserve">‘</w:t>
      </w:r>
      <w:r>
        <w:rPr>
          <w:i/>
          <w:b/>
        </w:rPr>
        <w:t xml:space="preserve">best technology</w:t>
      </w:r>
      <w:r>
        <w:rPr>
          <w:i/>
          <w:b/>
        </w:rPr>
        <w:t xml:space="preserve">’</w:t>
      </w:r>
      <w:r>
        <w:rPr>
          <w:i/>
          <w:b/>
        </w:rPr>
        <w:t xml:space="preserve"> </w:t>
      </w:r>
      <w:r>
        <w:rPr>
          <w:i/>
          <w:b/>
        </w:rPr>
        <w:t xml:space="preserve">already. Unit of analysis is household GJ per capita. Final energy (in household GJ per capita in 2050) from two more SSP scenarios (which do not necessarily hit the 1.5°C target) are added from the IIASA scenario database</w:t>
      </w:r>
      <w:r>
        <w:rPr>
          <w:i/>
          <w:b/>
        </w:rPr>
        <w:t xml:space="preserve"> </w:t>
      </w:r>
      <w:r>
        <w:rPr>
          <w:i/>
          <w:b/>
        </w:rPr>
        <w:t xml:space="preserve">(38)</w:t>
      </w:r>
      <w:r>
        <w:rPr>
          <w:i/>
          <w:b/>
        </w:rPr>
        <w:t xml:space="preserve"> </w:t>
      </w:r>
      <w:r>
        <w:rPr>
          <w:i/>
          <w:b/>
        </w:rPr>
        <w:t xml:space="preserve">for comparison: SSP3-3.4 (MESSAGE-GLOBIOM, OECD), SSP4-1.9 (WITCH-GLOBIOM, OECD).</w:t>
      </w:r>
    </w:p>
    <w:p>
      <w:r>
        <w:br w:type="page"/>
      </w:r>
    </w:p>
    <w:p>
      <w:pPr>
        <w:pStyle w:val="Heading1"/>
      </w:pPr>
      <w:bookmarkStart w:id="53" w:name="references"/>
      <w:r>
        <w:t xml:space="preserve">References</w:t>
      </w:r>
      <w:bookmarkEnd w:id="53"/>
    </w:p>
    <w:bookmarkStart w:id="126" w:name="refs"/>
    <w:bookmarkStart w:id="54" w:name="ref-miller_input-output_1985"/>
    <w:p>
      <w:pPr>
        <w:pStyle w:val="Bibliography"/>
      </w:pPr>
      <w:r>
        <w:t xml:space="preserve">1. Miller RE, Blair PD. Input-output analysis: Foundations and extensions. Englewood Cliffs, N.J: Prentice-Hall; 1985.</w:t>
      </w:r>
      <w:r>
        <w:t xml:space="preserve"> </w:t>
      </w:r>
    </w:p>
    <w:bookmarkEnd w:id="54"/>
    <w:bookmarkStart w:id="56" w:name="ref-stadler_exiobase_2018"/>
    <w:p>
      <w:pPr>
        <w:pStyle w:val="Bibliography"/>
      </w:pPr>
      <w:r>
        <w:t xml:space="preserve">2. Stadler K, Wood R, Bulavskaya T, Södersten C-J, Simas M, Schmidt S, et al. EXIOBASE 3: Developing a Time Series of Detailed Environmentally Extended Multi-Regional Input-Output Tables. Journal of Industrial Ecology [Internet]. 2018 [cited 2020 May 19];22(3):502–15. Available from:</w:t>
      </w:r>
      <w:r>
        <w:t xml:space="preserve"> </w:t>
      </w:r>
      <w:hyperlink r:id="rId55">
        <w:r>
          <w:rPr>
            <w:rStyle w:val="Hyperlink"/>
          </w:rPr>
          <w:t xml:space="preserve">https://onlinelibrary.wiley.com/doi/abs/10.1111/jiec.12715</w:t>
        </w:r>
      </w:hyperlink>
    </w:p>
    <w:bookmarkEnd w:id="56"/>
    <w:bookmarkStart w:id="57" w:name="ref-stadler_exiobase_2019"/>
    <w:p>
      <w:pPr>
        <w:pStyle w:val="Bibliography"/>
      </w:pPr>
      <w:r>
        <w:t xml:space="preserve">3. Stadler K, Wood R, Bulavskaya T, Södersten C-J, Simas M, Schmidt S, et al. EXIOBASE 3 [Internet]. Zenodo; 2019 [cited 2021 Jan 20]. Available from:</w:t>
      </w:r>
      <w:r>
        <w:t xml:space="preserve"> </w:t>
      </w:r>
      <w:hyperlink r:id="rId22">
        <w:r>
          <w:rPr>
            <w:rStyle w:val="Hyperlink"/>
          </w:rPr>
          <w:t xml:space="preserve">https://zenodo.org/record/3583071#.XjC7kSN4wpY</w:t>
        </w:r>
      </w:hyperlink>
    </w:p>
    <w:bookmarkEnd w:id="57"/>
    <w:bookmarkStart w:id="58" w:name="ref-eurostat_database_nodate"/>
    <w:p>
      <w:pPr>
        <w:pStyle w:val="Bibliography"/>
      </w:pPr>
      <w:r>
        <w:t xml:space="preserve">4. Eurostat. Database - Household budget surveys - Eurostat [Internet]. [cited 2021 Jan 20]. Available from:</w:t>
      </w:r>
      <w:r>
        <w:t xml:space="preserve"> </w:t>
      </w:r>
      <w:hyperlink r:id="rId23">
        <w:r>
          <w:rPr>
            <w:rStyle w:val="Hyperlink"/>
          </w:rPr>
          <w:t xml:space="preserve">https://ec.europa.eu/eurostat/web/household-budget-surveys/database</w:t>
        </w:r>
      </w:hyperlink>
    </w:p>
    <w:bookmarkEnd w:id="58"/>
    <w:bookmarkStart w:id="60" w:name="ref-r_core_team_r:_2020"/>
    <w:p>
      <w:pPr>
        <w:pStyle w:val="Bibliography"/>
      </w:pPr>
      <w:r>
        <w:t xml:space="preserve">5. R Core Team. R: A Language and Environment for Statistical Computing [Internet]. Vienna, Austria: R Foundation for Statistical Computing; 2020. Available from:</w:t>
      </w:r>
      <w:r>
        <w:t xml:space="preserve"> </w:t>
      </w:r>
      <w:hyperlink r:id="rId59">
        <w:r>
          <w:rPr>
            <w:rStyle w:val="Hyperlink"/>
          </w:rPr>
          <w:t xml:space="preserve">https://www.R-project.org/</w:t>
        </w:r>
      </w:hyperlink>
    </w:p>
    <w:bookmarkEnd w:id="60"/>
    <w:bookmarkStart w:id="62" w:name="ref-wickham_welcome_2019"/>
    <w:p>
      <w:pPr>
        <w:pStyle w:val="Bibliography"/>
      </w:pPr>
      <w:r>
        <w:t xml:space="preserve">6. Wickham H, Averick M, Bryan J, Chang W, McGowan LD, François R, et al. Welcome to the Tidyverse. Journal of Open Source Software [Internet]. 2019 Nov [cited 2021 Feb 1];4(43):1686. Available from:</w:t>
      </w:r>
      <w:r>
        <w:t xml:space="preserve"> </w:t>
      </w:r>
      <w:hyperlink r:id="rId61">
        <w:r>
          <w:rPr>
            <w:rStyle w:val="Hyperlink"/>
          </w:rPr>
          <w:t xml:space="preserve">https://joss.theoj.org/papers/10.21105/joss.01686</w:t>
        </w:r>
      </w:hyperlink>
    </w:p>
    <w:bookmarkEnd w:id="62"/>
    <w:bookmarkStart w:id="64" w:name="ref-firke_janitor:_2021"/>
    <w:p>
      <w:pPr>
        <w:pStyle w:val="Bibliography"/>
      </w:pPr>
      <w:r>
        <w:t xml:space="preserve">7. Firke S, Denney B, Haid C, Knight R, Grosser M, Zadra J. Janitor: Simple Tools for Examining and Cleaning Dirty Data [Internet]. 2021 [cited 2021 Feb 1]. Available from:</w:t>
      </w:r>
      <w:r>
        <w:t xml:space="preserve"> </w:t>
      </w:r>
      <w:hyperlink r:id="rId63">
        <w:r>
          <w:rPr>
            <w:rStyle w:val="Hyperlink"/>
          </w:rPr>
          <w:t xml:space="preserve">https://CRAN.R-project.org/package=janitor</w:t>
        </w:r>
      </w:hyperlink>
    </w:p>
    <w:bookmarkEnd w:id="64"/>
    <w:bookmarkStart w:id="66" w:name="ref-muller_here:_2020"/>
    <w:p>
      <w:pPr>
        <w:pStyle w:val="Bibliography"/>
      </w:pPr>
      <w:r>
        <w:t xml:space="preserve">8. Müller K, Bryan J. Here: A Simpler Way to Find Your Files [Internet]. 2020 [cited 2021 Feb 1]. Available from:</w:t>
      </w:r>
      <w:r>
        <w:t xml:space="preserve"> </w:t>
      </w:r>
      <w:hyperlink r:id="rId65">
        <w:r>
          <w:rPr>
            <w:rStyle w:val="Hyperlink"/>
          </w:rPr>
          <w:t xml:space="preserve">https://CRAN.R-project.org/package=here</w:t>
        </w:r>
      </w:hyperlink>
    </w:p>
    <w:bookmarkEnd w:id="66"/>
    <w:bookmarkStart w:id="68" w:name="ref-piburn_wbstats:_2020"/>
    <w:p>
      <w:pPr>
        <w:pStyle w:val="Bibliography"/>
      </w:pPr>
      <w:r>
        <w:t xml:space="preserve">9. Piburn J, UT-Battelle, LLC. Wbstats: Programmatic Access to Data and Statistics from the World Bank API [Internet]. 2020 [cited 2021 Feb 1]. Available from:</w:t>
      </w:r>
      <w:r>
        <w:t xml:space="preserve"> </w:t>
      </w:r>
      <w:hyperlink r:id="rId67">
        <w:r>
          <w:rPr>
            <w:rStyle w:val="Hyperlink"/>
          </w:rPr>
          <w:t xml:space="preserve">https://CRAN.R-project.org/package=wbstats</w:t>
        </w:r>
      </w:hyperlink>
    </w:p>
    <w:bookmarkEnd w:id="68"/>
    <w:bookmarkStart w:id="70" w:name="ref-buchta_isocodes:_2020"/>
    <w:p>
      <w:pPr>
        <w:pStyle w:val="Bibliography"/>
      </w:pPr>
      <w:r>
        <w:t xml:space="preserve">10. Buchta C, Hornik [aut K, cre. ISOcodes: Selected ISO Codes [Internet]. 2020 [cited 2021 Feb 1]. Available from:</w:t>
      </w:r>
      <w:r>
        <w:t xml:space="preserve"> </w:t>
      </w:r>
      <w:hyperlink r:id="rId69">
        <w:r>
          <w:rPr>
            <w:rStyle w:val="Hyperlink"/>
          </w:rPr>
          <w:t xml:space="preserve">https://CRAN.R-project.org/package=ISOcodes</w:t>
        </w:r>
      </w:hyperlink>
    </w:p>
    <w:bookmarkEnd w:id="70"/>
    <w:bookmarkStart w:id="72" w:name="ref-garnier_viridis:_2018"/>
    <w:p>
      <w:pPr>
        <w:pStyle w:val="Bibliography"/>
      </w:pPr>
      <w:r>
        <w:t xml:space="preserve">11. Garnier S, Ross N, Rudis B, Sciaini M, Scherer C. Viridis: Default Color Maps from ’matplotlib’ [Internet]. 2018 [cited 2021 Feb 1]. Available from:</w:t>
      </w:r>
      <w:r>
        <w:t xml:space="preserve"> </w:t>
      </w:r>
      <w:hyperlink r:id="rId71">
        <w:r>
          <w:rPr>
            <w:rStyle w:val="Hyperlink"/>
          </w:rPr>
          <w:t xml:space="preserve">https://CRAN.R-project.org/package=viridis</w:t>
        </w:r>
      </w:hyperlink>
    </w:p>
    <w:bookmarkEnd w:id="72"/>
    <w:bookmarkStart w:id="74" w:name="ref-rudis_hrbrthemes:_2020"/>
    <w:p>
      <w:pPr>
        <w:pStyle w:val="Bibliography"/>
      </w:pPr>
      <w:r>
        <w:t xml:space="preserve">12. Rudis B, Kennedy P, Reiner P, support) DW( axis, Adam X, Fonts) G(C&amp;TW, et al. Hrbrthemes: Additional Themes, Theme Components and Utilities for ’ggplot2’ [Internet]. 2020 [cited 2021 Feb 1]. Available from:</w:t>
      </w:r>
      <w:r>
        <w:t xml:space="preserve"> </w:t>
      </w:r>
      <w:hyperlink r:id="rId73">
        <w:r>
          <w:rPr>
            <w:rStyle w:val="Hyperlink"/>
          </w:rPr>
          <w:t xml:space="preserve">https://CRAN.R-project.org/package=hrbrthemes</w:t>
        </w:r>
      </w:hyperlink>
    </w:p>
    <w:bookmarkEnd w:id="74"/>
    <w:bookmarkStart w:id="76" w:name="ref-ram_wesanderson:_2018"/>
    <w:p>
      <w:pPr>
        <w:pStyle w:val="Bibliography"/>
      </w:pPr>
      <w:r>
        <w:t xml:space="preserve">13. Ram K, Wickham H, Richards C, Baggett A. Wesanderson: A Wes Anderson Palette Generator [Internet]. 2018 [cited 2021 Feb 1]. Available from:</w:t>
      </w:r>
      <w:r>
        <w:t xml:space="preserve"> </w:t>
      </w:r>
      <w:hyperlink r:id="rId75">
        <w:r>
          <w:rPr>
            <w:rStyle w:val="Hyperlink"/>
          </w:rPr>
          <w:t xml:space="preserve">https://CRAN.R-project.org/package=wesanderson</w:t>
        </w:r>
      </w:hyperlink>
    </w:p>
    <w:bookmarkEnd w:id="76"/>
    <w:bookmarkStart w:id="78" w:name="ref-hester_glue:_2020"/>
    <w:p>
      <w:pPr>
        <w:pStyle w:val="Bibliography"/>
      </w:pPr>
      <w:r>
        <w:t xml:space="preserve">14. Hester J. Glue: Interpreted String Literals [Internet]. 2020 [cited 2021 Feb 1]. Available from:</w:t>
      </w:r>
      <w:r>
        <w:t xml:space="preserve"> </w:t>
      </w:r>
      <w:hyperlink r:id="rId77">
        <w:r>
          <w:rPr>
            <w:rStyle w:val="Hyperlink"/>
          </w:rPr>
          <w:t xml:space="preserve">https://CRAN.R-project.org/package=glue</w:t>
        </w:r>
      </w:hyperlink>
    </w:p>
    <w:bookmarkEnd w:id="78"/>
    <w:bookmarkStart w:id="80" w:name="ref-wilke_ggridges:_2021"/>
    <w:p>
      <w:pPr>
        <w:pStyle w:val="Bibliography"/>
      </w:pPr>
      <w:r>
        <w:t xml:space="preserve">15. Wilke CO. Ggridges: Ridgeline Plots in ’ggplot2’ [Internet]. 2021 [cited 2021 Feb 1]. Available from:</w:t>
      </w:r>
      <w:r>
        <w:t xml:space="preserve"> </w:t>
      </w:r>
      <w:hyperlink r:id="rId79">
        <w:r>
          <w:rPr>
            <w:rStyle w:val="Hyperlink"/>
          </w:rPr>
          <w:t xml:space="preserve">https://CRAN.R-project.org/package=ggridges</w:t>
        </w:r>
      </w:hyperlink>
    </w:p>
    <w:bookmarkEnd w:id="80"/>
    <w:bookmarkStart w:id="82" w:name="ref-pedersen_patchwork:_2020"/>
    <w:p>
      <w:pPr>
        <w:pStyle w:val="Bibliography"/>
      </w:pPr>
      <w:r>
        <w:t xml:space="preserve">16. Pedersen TL. Patchwork: The Composer of Plots [Internet]. 2020 [cited 2021 Feb 1]. Available from:</w:t>
      </w:r>
      <w:r>
        <w:t xml:space="preserve"> </w:t>
      </w:r>
      <w:hyperlink r:id="rId81">
        <w:r>
          <w:rPr>
            <w:rStyle w:val="Hyperlink"/>
          </w:rPr>
          <w:t xml:space="preserve">https://CRAN.R-project.org/package=patchwork</w:t>
        </w:r>
      </w:hyperlink>
    </w:p>
    <w:bookmarkEnd w:id="82"/>
    <w:bookmarkStart w:id="84" w:name="ref-zhu_kableextra:_2020"/>
    <w:p>
      <w:pPr>
        <w:pStyle w:val="Bibliography"/>
      </w:pPr>
      <w:r>
        <w:t xml:space="preserve">17. Zhu H, Travison T, Tsai T, Beasley W, Xie Y, Yu G, et al. kableExtra: Construct Complex Table with ’kable’ and Pipe Syntax [Internet]. 2020 [cited 2021 Feb 1]. Available from:</w:t>
      </w:r>
      <w:r>
        <w:t xml:space="preserve"> </w:t>
      </w:r>
      <w:hyperlink r:id="rId83">
        <w:r>
          <w:rPr>
            <w:rStyle w:val="Hyperlink"/>
          </w:rPr>
          <w:t xml:space="preserve">https://CRAN.R-project.org/package=kableExtra</w:t>
        </w:r>
      </w:hyperlink>
    </w:p>
    <w:bookmarkEnd w:id="84"/>
    <w:bookmarkStart w:id="86" w:name="ref-wickham_readxl:_2019"/>
    <w:p>
      <w:pPr>
        <w:pStyle w:val="Bibliography"/>
      </w:pPr>
      <w:r>
        <w:t xml:space="preserve">18. Wickham H, Bryan J, attribution) R( holder of all R code and all C code without explicit copyright, code) MK( of included R, code) KV( of included libxls, code) CL( of included libxls, et al. Readxl: Read Excel Files [Internet]. 2019 [cited 2021 Feb 1]. Available from:</w:t>
      </w:r>
      <w:r>
        <w:t xml:space="preserve"> </w:t>
      </w:r>
      <w:hyperlink r:id="rId85">
        <w:r>
          <w:rPr>
            <w:rStyle w:val="Hyperlink"/>
          </w:rPr>
          <w:t xml:space="preserve">https://CRAN.R-project.org/package=readxl</w:t>
        </w:r>
      </w:hyperlink>
    </w:p>
    <w:bookmarkEnd w:id="86"/>
    <w:bookmarkStart w:id="88" w:name="ref-gohel_flextable:_2021"/>
    <w:p>
      <w:pPr>
        <w:pStyle w:val="Bibliography"/>
      </w:pPr>
      <w:r>
        <w:t xml:space="preserve">19. Gohel D, Fazilleau Q, output) MN( for docx, Robert T, footnotes) MB(, reference) AY( for bookdown cross, et al. Flextable: Functions for Tabular Reporting [Internet]. 2021 [cited 2021 Feb 1]. Available from:</w:t>
      </w:r>
      <w:r>
        <w:t xml:space="preserve"> </w:t>
      </w:r>
      <w:hyperlink r:id="rId87">
        <w:r>
          <w:rPr>
            <w:rStyle w:val="Hyperlink"/>
          </w:rPr>
          <w:t xml:space="preserve">https://CRAN.R-project.org/package=flextable</w:t>
        </w:r>
      </w:hyperlink>
    </w:p>
    <w:bookmarkEnd w:id="88"/>
    <w:bookmarkStart w:id="90" w:name="ref-south_rworldmap:_2016"/>
    <w:p>
      <w:pPr>
        <w:pStyle w:val="Bibliography"/>
      </w:pPr>
      <w:r>
        <w:t xml:space="preserve">20. South A. Rworldmap: Mapping Global Data [Internet]. 2016 [cited 2021 Feb 1]. Available from:</w:t>
      </w:r>
      <w:r>
        <w:t xml:space="preserve"> </w:t>
      </w:r>
      <w:hyperlink r:id="rId89">
        <w:r>
          <w:rPr>
            <w:rStyle w:val="Hyperlink"/>
          </w:rPr>
          <w:t xml:space="preserve">https://CRAN.R-project.org/package=rworldmap</w:t>
        </w:r>
      </w:hyperlink>
    </w:p>
    <w:bookmarkEnd w:id="90"/>
    <w:bookmarkStart w:id="92" w:name="ref-arnold_ggthemes:_2021"/>
    <w:p>
      <w:pPr>
        <w:pStyle w:val="Bibliography"/>
      </w:pPr>
      <w:r>
        <w:t xml:space="preserve">21. Arnold JB, Daroczi G, Werth B, Weitzner B, Kunst J, Auguie B, et al. Ggthemes: Extra Themes, Scales and Geoms for ’ggplot2’ [Internet]. 2021 [cited 2021 Feb 1]. Available from:</w:t>
      </w:r>
      <w:r>
        <w:t xml:space="preserve"> </w:t>
      </w:r>
      <w:hyperlink r:id="rId91">
        <w:r>
          <w:rPr>
            <w:rStyle w:val="Hyperlink"/>
          </w:rPr>
          <w:t xml:space="preserve">https://CRAN.R-project.org/package=ggthemes</w:t>
        </w:r>
      </w:hyperlink>
    </w:p>
    <w:bookmarkEnd w:id="92"/>
    <w:bookmarkStart w:id="93" w:name="ref-myhre_g._anthropogenic_2013"/>
    <w:p>
      <w:pPr>
        <w:pStyle w:val="Bibliography"/>
      </w:pPr>
      <w:r>
        <w:t xml:space="preserve">22. Myhre, G., Shindell, D., Bréon, F.-M., Collins, W., Fuglestvedt, J., Huang, J., et al.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 2013.</w:t>
      </w:r>
      <w:r>
        <w:t xml:space="preserve"> </w:t>
      </w:r>
    </w:p>
    <w:bookmarkEnd w:id="93"/>
    <w:bookmarkStart w:id="94" w:name="ref-eurostat_manual_2015"/>
    <w:p>
      <w:pPr>
        <w:pStyle w:val="Bibliography"/>
      </w:pPr>
      <w:r>
        <w:t xml:space="preserve">23. Eurostat. Manual for air emission accounts. 2015.</w:t>
      </w:r>
      <w:r>
        <w:t xml:space="preserve"> </w:t>
      </w:r>
    </w:p>
    <w:bookmarkEnd w:id="94"/>
    <w:bookmarkStart w:id="95" w:name="ref-eurostat_eurostat_2020"/>
    <w:p>
      <w:pPr>
        <w:pStyle w:val="Bibliography"/>
      </w:pPr>
      <w:r>
        <w:t xml:space="preserve">24. Eurostat. Eurostat - Data Explorer - Energy supply and use by NACE Rev. 2 activity [Internet]. 2020 [cited 2020 Aug 11]. Available from:</w:t>
      </w:r>
      <w:r>
        <w:t xml:space="preserve"> </w:t>
      </w:r>
      <w:hyperlink r:id="rId27">
        <w:r>
          <w:rPr>
            <w:rStyle w:val="Hyperlink"/>
          </w:rPr>
          <w:t xml:space="preserve">http://appsso.eurostat.ec.europa.eu/nui/show.do?dataset=env_ac_pefasu</w:t>
        </w:r>
      </w:hyperlink>
    </w:p>
    <w:bookmarkEnd w:id="95"/>
    <w:bookmarkStart w:id="96" w:name="ref-eurostat_eurostat_nodate"/>
    <w:p>
      <w:pPr>
        <w:pStyle w:val="Bibliography"/>
      </w:pPr>
      <w:r>
        <w:t xml:space="preserve">25. Eurostat. Eurostat - Data Explorer - Air emissions accounts by NACE Rev. 2 activity [Internet]. [cited 2021 Jan 20]. Available from:</w:t>
      </w:r>
      <w:r>
        <w:t xml:space="preserve"> </w:t>
      </w:r>
      <w:hyperlink r:id="rId28">
        <w:r>
          <w:rPr>
            <w:rStyle w:val="Hyperlink"/>
          </w:rPr>
          <w:t xml:space="preserve">https://appsso.eurostat.ec.europa.eu/nui/show.do?dataset=env_ac_ainah_r2&amp;lang=en</w:t>
        </w:r>
      </w:hyperlink>
    </w:p>
    <w:bookmarkEnd w:id="96"/>
    <w:bookmarkStart w:id="98" w:name="ref-eurostat_description_2016"/>
    <w:p>
      <w:pPr>
        <w:pStyle w:val="Bibliography"/>
      </w:pPr>
      <w:r>
        <w:t xml:space="preserve">26. Eurostat. Description of the data transmission for the Household Budget Survey (HBS) for the Reference Year 2015 Version: 3 [Internet]. 2016. Available from:</w:t>
      </w:r>
      <w:r>
        <w:t xml:space="preserve"> </w:t>
      </w:r>
      <w:hyperlink r:id="rId97">
        <w:r>
          <w:rPr>
            <w:rStyle w:val="Hyperlink"/>
          </w:rPr>
          <w:t xml:space="preserve">https://ec.europa.eu/eurostat/documents/54431/1966394/HBS2015_Transmission_DOC_V3.2018_05_22.pdf</w:t>
        </w:r>
      </w:hyperlink>
    </w:p>
    <w:bookmarkEnd w:id="98"/>
    <w:bookmarkStart w:id="100" w:name="ref-eurostat_eurostat_nodate-1"/>
    <w:p>
      <w:pPr>
        <w:pStyle w:val="Bibliography"/>
      </w:pPr>
      <w:r>
        <w:t xml:space="preserve">27. Eurostat. Eurostat - Data Explorer - Number of private households by household composition, number of children and age of youngest child (1 000) [Internet]. [cited 2021 Jan 20]. Available from:</w:t>
      </w:r>
      <w:r>
        <w:t xml:space="preserve"> </w:t>
      </w:r>
      <w:hyperlink r:id="rId99">
        <w:r>
          <w:rPr>
            <w:rStyle w:val="Hyperlink"/>
          </w:rPr>
          <w:t xml:space="preserve">https://appsso.eurostat.ec.europa.eu/nui/show.do?dataset=lfst_hhnhtych&amp;lang=en</w:t>
        </w:r>
      </w:hyperlink>
    </w:p>
    <w:bookmarkEnd w:id="100"/>
    <w:bookmarkStart w:id="102" w:name="ref-statistics_norway_10986:_nodate"/>
    <w:p>
      <w:pPr>
        <w:pStyle w:val="Bibliography"/>
      </w:pPr>
      <w:r>
        <w:t xml:space="preserve">28. Statistics Norway. 10986: Private households and persons in private households, by type of household (C) 2005 - 2020 [Internet]. PX-Web SSB. [cited 2021 Jan 20]. Available from:</w:t>
      </w:r>
      <w:r>
        <w:t xml:space="preserve"> </w:t>
      </w:r>
      <w:hyperlink r:id="rId101">
        <w:r>
          <w:rPr>
            <w:rStyle w:val="Hyperlink"/>
          </w:rPr>
          <w:t xml:space="preserve">http://www.ssb.no/en/statbanken/statbank/table/10986/</w:t>
        </w:r>
      </w:hyperlink>
    </w:p>
    <w:bookmarkEnd w:id="102"/>
    <w:bookmarkStart w:id="104" w:name="ref-eurostat_eu_2020"/>
    <w:p>
      <w:pPr>
        <w:pStyle w:val="Bibliography"/>
      </w:pPr>
      <w:r>
        <w:t xml:space="preserve">29. Eurostat. EU Quality Report of the Household Budget Survey 2015 Wave [Internet]. 2020. Available from:</w:t>
      </w:r>
      <w:r>
        <w:t xml:space="preserve"> </w:t>
      </w:r>
      <w:hyperlink r:id="rId103">
        <w:r>
          <w:rPr>
            <w:rStyle w:val="Hyperlink"/>
          </w:rPr>
          <w:t xml:space="preserve">https://ec.europa.eu/eurostat/documents/54431/1966394/HBS_EU_QualityReport_2015.pdf/72d7e310-c415-7806-93cc-e3bc7a49b596</w:t>
        </w:r>
      </w:hyperlink>
    </w:p>
    <w:bookmarkEnd w:id="104"/>
    <w:bookmarkStart w:id="106" w:name="ref-moran_convergence_2014"/>
    <w:p>
      <w:pPr>
        <w:pStyle w:val="Bibliography"/>
      </w:pPr>
      <w:r>
        <w:t xml:space="preserve">30. Moran D, Wood R. Convergence Between the Eora, Wiod, Exiobase, and Openeu’s Consumption-Based Carbon Accounts. Economic Systems Research [Internet]. 2014 Jul [cited 2018 Aug 15];26(3):245–61. Available from:</w:t>
      </w:r>
      <w:r>
        <w:t xml:space="preserve"> </w:t>
      </w:r>
      <w:hyperlink r:id="rId105">
        <w:r>
          <w:rPr>
            <w:rStyle w:val="Hyperlink"/>
          </w:rPr>
          <w:t xml:space="preserve">https://doi.org/10.1080/09535314.2014.935298</w:t>
        </w:r>
      </w:hyperlink>
    </w:p>
    <w:bookmarkEnd w:id="106"/>
    <w:bookmarkStart w:id="108" w:name="ref-ivanova_unequal_2020"/>
    <w:p>
      <w:pPr>
        <w:pStyle w:val="Bibliography"/>
      </w:pPr>
      <w:r>
        <w:t xml:space="preserve">31. Ivanova D, Wood R. The unequal distribution of household carbon footprints in Europe and its link to sustainability. Global Sustainability [Internet]. 2020 [cited 2020 Jul 7];3. Available from:</w:t>
      </w:r>
      <w:r>
        <w:t xml:space="preserve"> </w:t>
      </w:r>
      <w:hyperlink r:id="rId107">
        <w:r>
          <w:rPr>
            <w:rStyle w:val="Hyperlink"/>
          </w:rPr>
          <w:t xml:space="preserve">https://www.cambridge.org/core/journals/global-sustainability/article/unequal-distribution-of-household-carbon-footprints-in-europe-and-its-link-to-sustainability/F1ED4F705AF1C6C1FCAD477398353DC2</w:t>
        </w:r>
      </w:hyperlink>
    </w:p>
    <w:bookmarkEnd w:id="108"/>
    <w:bookmarkStart w:id="110" w:name="ref-gore_t._confronting_2020"/>
    <w:p>
      <w:pPr>
        <w:pStyle w:val="Bibliography"/>
      </w:pPr>
      <w:r>
        <w:t xml:space="preserve">32. Gore, T., Alestig, M. Confronting carbon inequality in the European Union [Internet]. 2020 [cited 2021 Jan 21]. Available from:</w:t>
      </w:r>
      <w:r>
        <w:t xml:space="preserve"> </w:t>
      </w:r>
      <w:hyperlink r:id="rId109">
        <w:r>
          <w:rPr>
            <w:rStyle w:val="Hyperlink"/>
          </w:rPr>
          <w:t xml:space="preserve">https://www.oxfam.org/en/research/confronting-carbon-inequality-european-union</w:t>
        </w:r>
      </w:hyperlink>
    </w:p>
    <w:bookmarkEnd w:id="110"/>
    <w:bookmarkStart w:id="112" w:name="ref-sommer_carbon_2017"/>
    <w:p>
      <w:pPr>
        <w:pStyle w:val="Bibliography"/>
      </w:pPr>
      <w:r>
        <w:t xml:space="preserve">33. Sommer M, Kratena K. The Carbon Footprint of European Households and Income Distribution. Ecological Economics [Internet]. 2017 [cited 2020 Aug 12];136(C):62–72. Available from:</w:t>
      </w:r>
      <w:r>
        <w:t xml:space="preserve"> </w:t>
      </w:r>
      <w:hyperlink r:id="rId111">
        <w:r>
          <w:rPr>
            <w:rStyle w:val="Hyperlink"/>
          </w:rPr>
          <w:t xml:space="preserve">https://econpapers.repec.org/article/eeeecolec/v_3a136_3ay_3a2017_3ai_3ac_3ap_3a62-72.htm</w:t>
        </w:r>
      </w:hyperlink>
    </w:p>
    <w:bookmarkEnd w:id="112"/>
    <w:bookmarkStart w:id="114" w:name="ref-bianco_understanding_2019"/>
    <w:p>
      <w:pPr>
        <w:pStyle w:val="Bibliography"/>
      </w:pPr>
      <w:r>
        <w:t xml:space="preserve">34. Bianco V, Cascetta F, Marino A, Nardini S. Understanding energy consumption and carbon emissions in Europe: A focus on inequality issues. Energy [Internet]. 2019 Mar [cited 2020 Sep 28];170:120–30. Available from:</w:t>
      </w:r>
      <w:r>
        <w:t xml:space="preserve"> </w:t>
      </w:r>
      <w:hyperlink r:id="rId113">
        <w:r>
          <w:rPr>
            <w:rStyle w:val="Hyperlink"/>
          </w:rPr>
          <w:t xml:space="preserve">http://www.sciencedirect.com/science/article/pii/S0360544218324927</w:t>
        </w:r>
      </w:hyperlink>
    </w:p>
    <w:bookmarkEnd w:id="114"/>
    <w:bookmarkStart w:id="116" w:name="ref-sovacool_reviewing_2017"/>
    <w:p>
      <w:pPr>
        <w:pStyle w:val="Bibliography"/>
      </w:pPr>
      <w:r>
        <w:t xml:space="preserve">35. Sovacool BK. Reviewing, Reforming, and Rethinking Global Energy Subsidies: Towards a Political Economy Research Agenda. Ecological Economics [Internet]. 2017 May [cited 2021 Feb 12];135:150–63. Available from:</w:t>
      </w:r>
      <w:r>
        <w:t xml:space="preserve"> </w:t>
      </w:r>
      <w:hyperlink r:id="rId115">
        <w:r>
          <w:rPr>
            <w:rStyle w:val="Hyperlink"/>
          </w:rPr>
          <w:t xml:space="preserve">https://www.sciencedirect.com/science/article/pii/S0921800916303494</w:t>
        </w:r>
      </w:hyperlink>
    </w:p>
    <w:bookmarkEnd w:id="116"/>
    <w:bookmarkStart w:id="117" w:name="ref-oecd_sut_nodate"/>
    <w:p>
      <w:pPr>
        <w:pStyle w:val="Bibliography"/>
      </w:pPr>
      <w:r>
        <w:t xml:space="preserve">36. OECD. SUT Indicators : Trade and transport margins in percentage of total supply at purchasers’ prices [Internet]. [cited 2021 Jan 20]. Available from:</w:t>
      </w:r>
      <w:r>
        <w:t xml:space="preserve"> </w:t>
      </w:r>
      <w:hyperlink r:id="rId39">
        <w:r>
          <w:rPr>
            <w:rStyle w:val="Hyperlink"/>
          </w:rPr>
          <w:t xml:space="preserve">https://stats.oecd.org/index.aspx?queryid=84864#</w:t>
        </w:r>
      </w:hyperlink>
    </w:p>
    <w:bookmarkEnd w:id="117"/>
    <w:bookmarkStart w:id="119" w:name="ref-grubler_low_2018"/>
    <w:p>
      <w:pPr>
        <w:pStyle w:val="Bibliography"/>
      </w:pPr>
      <w:r>
        <w:t xml:space="preserve">37. Grubler A, Wilson C, Bento N, Boza-Kiss B, Krey V, McCollum D, et al. A low energy demand scenario for meeting the 1.5 °C target and sustainable development goals without negative emission technologies. Nature Energy [Internet]. 2018 Jun [cited 2018 Sep 3];3:517–25. Available from:</w:t>
      </w:r>
      <w:r>
        <w:t xml:space="preserve"> </w:t>
      </w:r>
      <w:hyperlink r:id="rId118">
        <w:r>
          <w:rPr>
            <w:rStyle w:val="Hyperlink"/>
          </w:rPr>
          <w:t xml:space="preserve">https://rdcu.be/SOJx</w:t>
        </w:r>
      </w:hyperlink>
    </w:p>
    <w:bookmarkEnd w:id="119"/>
    <w:bookmarkStart w:id="121" w:name="ref-riahi_shared_2017"/>
    <w:p>
      <w:pPr>
        <w:pStyle w:val="Bibliography"/>
      </w:pPr>
      <w:r>
        <w:t xml:space="preserve">38. Riahi K, Vuuren DP van, Kriegler E, Edmonds J, O’Neill BC, Fujimori S, et al. The Shared Socioeconomic Pathways and their energy, land use, and greenhouse gas emissions implications: An overview. Global Environmental Change [Internet]. 2017 Jan [cited 2021 Jan 20];42:153–68. Available from:</w:t>
      </w:r>
      <w:r>
        <w:t xml:space="preserve"> </w:t>
      </w:r>
      <w:hyperlink r:id="rId120">
        <w:r>
          <w:rPr>
            <w:rStyle w:val="Hyperlink"/>
          </w:rPr>
          <w:t xml:space="preserve">http://www.sciencedirect.com/science/article/pii/S0959378016300681</w:t>
        </w:r>
      </w:hyperlink>
    </w:p>
    <w:bookmarkEnd w:id="121"/>
    <w:bookmarkStart w:id="123" w:name="ref-gea_gea_nodate"/>
    <w:p>
      <w:pPr>
        <w:pStyle w:val="Bibliography"/>
      </w:pPr>
      <w:r>
        <w:t xml:space="preserve">39. GEA. GEA Scenario database (public) [Internet]. [cited 2021 Jan 20]. Available from:</w:t>
      </w:r>
      <w:r>
        <w:t xml:space="preserve"> </w:t>
      </w:r>
      <w:hyperlink r:id="rId122">
        <w:r>
          <w:rPr>
            <w:rStyle w:val="Hyperlink"/>
          </w:rPr>
          <w:t xml:space="preserve">https://www.iiasa.ac.at/web-apps/ene/geadb/dsd?Action=htmlpage&amp;page=about</w:t>
        </w:r>
      </w:hyperlink>
    </w:p>
    <w:bookmarkEnd w:id="123"/>
    <w:bookmarkStart w:id="125" w:name="ref-millward-hopkins_providing_2020"/>
    <w:p>
      <w:pPr>
        <w:pStyle w:val="Bibliography"/>
      </w:pPr>
      <w:r>
        <w:t xml:space="preserve">40. Millward-Hopkins J, Steinberger JK, Rao ND, Oswald Y. Providing decent living with minimum energy: A global scenario. Global Environmental Change [Internet]. 2020 Nov [cited 2020 Oct 9];65:102168. Available from:</w:t>
      </w:r>
      <w:r>
        <w:t xml:space="preserve"> </w:t>
      </w:r>
      <w:hyperlink r:id="rId124">
        <w:r>
          <w:rPr>
            <w:rStyle w:val="Hyperlink"/>
          </w:rPr>
          <w:t xml:space="preserve">http://www.sciencedirect.com/science/article/pii/S0959378020307512</w:t>
        </w:r>
      </w:hyperlink>
    </w:p>
    <w:bookmarkEnd w:id="125"/>
    <w:bookmarkEnd w:id="126"/>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2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1"/>
  </w:num>
  <w:num w:numId="1004">
    <w:abstractNumId w:val="991"/>
  </w:num>
  <w:num w:numId="1005">
    <w:abstractNumId w:val="991"/>
  </w:num>
  <w:num w:numId="1006">
    <w:abstractNumId w:val="991"/>
  </w:num>
  <w:num w:numId="1007">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9">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0">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1">
    <w:abstractNumId w:val="991"/>
  </w:num>
  <w:num w:numId="101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image" Id="rId48" Target="media/rId48.png" /><Relationship Type="http://schemas.openxmlformats.org/officeDocument/2006/relationships/image" Id="rId50" Target="media/rId50.png" /><Relationship Type="http://schemas.openxmlformats.org/officeDocument/2006/relationships/image" Id="rId36" Target="media/rId36.png" /><Relationship Type="http://schemas.openxmlformats.org/officeDocument/2006/relationships/image" Id="rId52" Target="media/rId52.png" /><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7" Target="http://appsso.eurostat.ec.europa.eu/nui/show.do?dataset=env_ac_pefasu" TargetMode="External" /><Relationship Type="http://schemas.openxmlformats.org/officeDocument/2006/relationships/hyperlink" Id="rId113" Target="http://www.sciencedirect.com/science/article/pii/S0360544218324927" TargetMode="External" /><Relationship Type="http://schemas.openxmlformats.org/officeDocument/2006/relationships/hyperlink" Id="rId120" Target="http://www.sciencedirect.com/science/article/pii/S0959378016300681" TargetMode="External" /><Relationship Type="http://schemas.openxmlformats.org/officeDocument/2006/relationships/hyperlink" Id="rId124" Target="http://www.sciencedirect.com/science/article/pii/S0959378020307512" TargetMode="External" /><Relationship Type="http://schemas.openxmlformats.org/officeDocument/2006/relationships/hyperlink" Id="rId101" Target="http://www.ssb.no/en/statbanken/statbank/table/10986/" TargetMode="External" /><Relationship Type="http://schemas.openxmlformats.org/officeDocument/2006/relationships/hyperlink" Id="rId69" Target="https://CRAN.R-project.org/package=ISOcodes" TargetMode="External" /><Relationship Type="http://schemas.openxmlformats.org/officeDocument/2006/relationships/hyperlink" Id="rId87" Target="https://CRAN.R-project.org/package=flextable" TargetMode="External" /><Relationship Type="http://schemas.openxmlformats.org/officeDocument/2006/relationships/hyperlink" Id="rId79" Target="https://CRAN.R-project.org/package=ggridges" TargetMode="External" /><Relationship Type="http://schemas.openxmlformats.org/officeDocument/2006/relationships/hyperlink" Id="rId91" Target="https://CRAN.R-project.org/package=ggthemes" TargetMode="External" /><Relationship Type="http://schemas.openxmlformats.org/officeDocument/2006/relationships/hyperlink" Id="rId77" Target="https://CRAN.R-project.org/package=glue" TargetMode="External" /><Relationship Type="http://schemas.openxmlformats.org/officeDocument/2006/relationships/hyperlink" Id="rId65" Target="https://CRAN.R-project.org/package=here" TargetMode="External" /><Relationship Type="http://schemas.openxmlformats.org/officeDocument/2006/relationships/hyperlink" Id="rId73" Target="https://CRAN.R-project.org/package=hrbrthemes" TargetMode="External" /><Relationship Type="http://schemas.openxmlformats.org/officeDocument/2006/relationships/hyperlink" Id="rId63" Target="https://CRAN.R-project.org/package=janitor" TargetMode="External" /><Relationship Type="http://schemas.openxmlformats.org/officeDocument/2006/relationships/hyperlink" Id="rId83" Target="https://CRAN.R-project.org/package=kableExtra" TargetMode="External" /><Relationship Type="http://schemas.openxmlformats.org/officeDocument/2006/relationships/hyperlink" Id="rId81" Target="https://CRAN.R-project.org/package=patchwork" TargetMode="External" /><Relationship Type="http://schemas.openxmlformats.org/officeDocument/2006/relationships/hyperlink" Id="rId85" Target="https://CRAN.R-project.org/package=readxl" TargetMode="External" /><Relationship Type="http://schemas.openxmlformats.org/officeDocument/2006/relationships/hyperlink" Id="rId89" Target="https://CRAN.R-project.org/package=rworldmap" TargetMode="External" /><Relationship Type="http://schemas.openxmlformats.org/officeDocument/2006/relationships/hyperlink" Id="rId71" Target="https://CRAN.R-project.org/package=viridis" TargetMode="External" /><Relationship Type="http://schemas.openxmlformats.org/officeDocument/2006/relationships/hyperlink" Id="rId67" Target="https://CRAN.R-project.org/package=wbstats" TargetMode="External" /><Relationship Type="http://schemas.openxmlformats.org/officeDocument/2006/relationships/hyperlink" Id="rId75" Target="https://CRAN.R-project.org/package=wesanderson" TargetMode="External" /><Relationship Type="http://schemas.openxmlformats.org/officeDocument/2006/relationships/hyperlink" Id="rId28" Target="https://appsso.eurostat.ec.europa.eu/nui/show.do?dataset=env_ac_ainah_r2&amp;lang=en" TargetMode="External" /><Relationship Type="http://schemas.openxmlformats.org/officeDocument/2006/relationships/hyperlink" Id="rId99" Target="https://appsso.eurostat.ec.europa.eu/nui/show.do?dataset=lfst_hhnhtych&amp;lang=en" TargetMode="External" /><Relationship Type="http://schemas.openxmlformats.org/officeDocument/2006/relationships/hyperlink" Id="rId105" Target="https://doi.org/10.1080/09535314.2014.935298" TargetMode="External" /><Relationship Type="http://schemas.openxmlformats.org/officeDocument/2006/relationships/hyperlink" Id="rId97" Target="https://ec.europa.eu/eurostat/documents/54431/1966394/HBS2015_Transmission_DOC_V3.2018_05_22.pdf" TargetMode="External" /><Relationship Type="http://schemas.openxmlformats.org/officeDocument/2006/relationships/hyperlink" Id="rId103" Target="https://ec.europa.eu/eurostat/documents/54431/1966394/HBS_EU_QualityReport_2015.pdf/72d7e310-c415-7806-93cc-e3bc7a49b596" TargetMode="External" /><Relationship Type="http://schemas.openxmlformats.org/officeDocument/2006/relationships/hyperlink" Id="rId23" Target="https://ec.europa.eu/eurostat/web/household-budget-surveys/database" TargetMode="External" /><Relationship Type="http://schemas.openxmlformats.org/officeDocument/2006/relationships/hyperlink" Id="rId111" Target="https://econpapers.repec.org/article/eeeecolec/v_3a136_3ay_3a2017_3ai_3ac_3ap_3a62-72.htm" TargetMode="External" /><Relationship Type="http://schemas.openxmlformats.org/officeDocument/2006/relationships/hyperlink" Id="rId61" Target="https://joss.theoj.org/papers/10.21105/joss.01686" TargetMode="External" /><Relationship Type="http://schemas.openxmlformats.org/officeDocument/2006/relationships/hyperlink" Id="rId55" Target="https://onlinelibrary.wiley.com/doi/abs/10.1111/jiec.12715" TargetMode="External" /><Relationship Type="http://schemas.openxmlformats.org/officeDocument/2006/relationships/hyperlink" Id="rId118" Target="https://rdcu.be/SOJx" TargetMode="External" /><Relationship Type="http://schemas.openxmlformats.org/officeDocument/2006/relationships/hyperlink" Id="rId39" Target="https://stats.oecd.org/index.aspx?queryid=84864#" TargetMode="External" /><Relationship Type="http://schemas.openxmlformats.org/officeDocument/2006/relationships/hyperlink" Id="rId59" Target="https://www.R-project.org/" TargetMode="External" /><Relationship Type="http://schemas.openxmlformats.org/officeDocument/2006/relationships/hyperlink" Id="rId107" Target="https://www.cambridge.org/core/journals/global-sustainability/article/unequal-distribution-of-household-carbon-footprints-in-europe-and-its-link-to-sustainability/F1ED4F705AF1C6C1FCAD477398353DC2" TargetMode="External" /><Relationship Type="http://schemas.openxmlformats.org/officeDocument/2006/relationships/hyperlink" Id="rId122" Target="https://www.iiasa.ac.at/web-apps/ene/geadb/dsd?Action=htmlpage&amp;page=about" TargetMode="External" /><Relationship Type="http://schemas.openxmlformats.org/officeDocument/2006/relationships/hyperlink" Id="rId109" Target="https://www.oxfam.org/en/research/confronting-carbon-inequality-european-union" TargetMode="External" /><Relationship Type="http://schemas.openxmlformats.org/officeDocument/2006/relationships/hyperlink" Id="rId115" Target="https://www.sciencedirect.com/science/article/pii/S0921800916303494" TargetMode="External" /><Relationship Type="http://schemas.openxmlformats.org/officeDocument/2006/relationships/hyperlink" Id="rId30" Target="https://www.ssb.no/en/statbank/table/10986/" TargetMode="External" /><Relationship Type="http://schemas.openxmlformats.org/officeDocument/2006/relationships/hyperlink" Id="rId22"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energy and carbon inequality corridor for a 1.5°C compatible and just Europe: supplementary information</dc:title>
  <dc:creator>Ingram S. Jaccard1, Peter-Paul Pichler1, Johannes Többen1,3, and Helga Weisz1,2</dc:creator>
  <cp:keywords/>
  <dcterms:created xsi:type="dcterms:W3CDTF">2021-02-18T12:19:07Z</dcterms:created>
  <dcterms:modified xsi:type="dcterms:W3CDTF">2021-02-18T12:19:07Z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yes</vt:lpwstr>
  </property>
  <property fmtid="{D5CDD505-2E9C-101B-9397-08002B2CF9AE}" pid="3" name="bibliography">
    <vt:lpwstr>references.bib</vt:lpwstr>
  </property>
  <property fmtid="{D5CDD505-2E9C-101B-9397-08002B2CF9AE}" pid="4" name="content">
    <vt:lpwstr>35 pages, 13 tables, 7 figures</vt:lpwstr>
  </property>
  <property fmtid="{D5CDD505-2E9C-101B-9397-08002B2CF9AE}" pid="5" name="csl">
    <vt:lpwstr>../templates/vancouver.csl</vt:lpwstr>
  </property>
  <property fmtid="{D5CDD505-2E9C-101B-9397-08002B2CF9AE}" pid="6" name="output">
    <vt:lpwstr/>
  </property>
</Properties>
</file>