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5.png" ContentType="image/png"/>
  <Override PartName="/word/media/rId37.png" ContentType="image/png"/>
  <Override PartName="/word/media/rId27.png" ContentType="image/png"/>
  <Override PartName="/word/media/rId30.png" ContentType="image/png"/>
  <Override PartName="/word/media/rId34.png" ContentType="image/png"/>
  <Override PartName="/word/media/rId26.pdf" ContentType="application/pdf"/>
  <Override PartName="/word/media/rId28.pdf" ContentType="application/pdf"/>
  <Override PartName="/word/media/rId31.pdf" ContentType="application/pdf"/>
  <Override PartName="/word/media/rId35.pdf" ContentType="application/pdf"/>
  <Override PartName="/word/media/rId38.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07</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Heading1"/>
      </w:pPr>
      <w:bookmarkStart w:id="20" w:name="introduction"/>
      <w:r>
        <w:t xml:space="preserve">Introduction</w:t>
      </w:r>
      <w:bookmarkEnd w:id="20"/>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w:t>
      </w:r>
    </w:p>
    <w:p>
      <w:pPr>
        <w:numPr>
          <w:numId w:val="1001"/>
          <w:ilvl w:val="0"/>
        </w:numPr>
      </w:pPr>
      <w:r>
        <w:t xml:space="preserve">We first construct common European expenditure deciles based on national income stratified household expenditure data covering 30 European countries further stratified by 5 consumption sectors.</w:t>
      </w:r>
    </w:p>
    <w:p>
      <w:pPr>
        <w:numPr>
          <w:numId w:val="1001"/>
          <w:ilvl w:val="0"/>
        </w:numPr>
      </w:pPr>
      <w:r>
        <w:t xml:space="preserve">We then calculate average household GHG and energy footprints per European expenditure decile and consumption sector to explore the current structure of energy and carbon intensities across these categories.</w:t>
      </w:r>
    </w:p>
    <w:p>
      <w:pPr>
        <w:numPr>
          <w:numId w:val="1001"/>
          <w:ilvl w:val="0"/>
        </w:numPr>
      </w:pPr>
      <w:r>
        <w:t xml:space="preserve">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w:t>
      </w:r>
    </w:p>
    <w:p>
      <w:pPr>
        <w:numPr>
          <w:numId w:val="1001"/>
          <w:ilvl w:val="0"/>
        </w:numPr>
      </w:pPr>
      <w:r>
        <w:t xml:space="preserve">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w:t>
      </w:r>
    </w:p>
    <w:p>
      <w:pPr>
        <w:numPr>
          <w:numId w:val="1001"/>
          <w:ilvl w:val="0"/>
        </w:numPr>
      </w:pPr>
      <w:r>
        <w:t xml:space="preserve">we discuss implications for policy (GND, doughnut etc) and whatnot</w:t>
      </w:r>
    </w:p>
    <w:p>
      <w:pPr>
        <w:numPr>
          <w:numId w:val="1001"/>
          <w:ilvl w:val="0"/>
        </w:numPr>
      </w:pPr>
      <w:r>
        <w:t xml:space="preserve">additional line of inquiry: how much of those emissions is non-eu?</w:t>
      </w:r>
    </w:p>
    <w:p>
      <w:pPr>
        <w:pStyle w:val="Heading1"/>
      </w:pPr>
      <w:bookmarkStart w:id="21" w:name="background"/>
      <w:r>
        <w:t xml:space="preserve">Background</w:t>
      </w:r>
      <w:bookmarkEnd w:id="21"/>
    </w:p>
    <w:p>
      <w:pPr>
        <w:pStyle w:val="Heading1"/>
      </w:pPr>
      <w:bookmarkStart w:id="22" w:name="methods"/>
      <w:r>
        <w:t xml:space="preserve">Methods</w:t>
      </w:r>
      <w:bookmarkEnd w:id="22"/>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 PPS) and the structure of consumption expenditure by income quintile and COICOP consumption category. We mapped the EXIOBASE sectors to one of the COICOP consumption categories (our mapping can be found in the supplementary information),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Finally, we then ranked these national income quintiles within Europe, according to their mean consumption expenditure in PPS, to decompose the total European energy and carbon footprint by European expenditure decile. Everything is normalized by adult equivalent unit, following the EUROSTAT HBS. The data and procedures are described in detail in the supplementary information (SI).</w:t>
      </w:r>
    </w:p>
    <w:p>
      <w:pPr>
        <w:pStyle w:val="BodyText"/>
      </w:pPr>
      <w:r>
        <w:t xml:space="preserve">Terms to define:</w:t>
      </w:r>
    </w:p>
    <w:p>
      <w:pPr>
        <w:numPr>
          <w:numId w:val="1002"/>
          <w:ilvl w:val="0"/>
        </w:numPr>
      </w:pPr>
      <w:r>
        <w:rPr>
          <w:i/>
        </w:rPr>
        <w:t xml:space="preserve">Adult equivalents: we use households as unit of analysis because it is the most relevant unit. Because household sizes are different in different countries and income groups we use adult equivalent units made by Eurostat for this purpose.</w:t>
      </w:r>
    </w:p>
    <w:p>
      <w:pPr>
        <w:numPr>
          <w:numId w:val="1002"/>
          <w:ilvl w:val="0"/>
        </w:numPr>
      </w:pPr>
      <w:r>
        <w:rPr>
          <w:i/>
        </w:rPr>
        <w:t xml:space="preserve">European deciles: we aggregate the data of 30 European countries with 5 income groups each into 10 European expenditure groups. we call this European, but some are missing and Turkey is there.</w:t>
      </w:r>
    </w:p>
    <w:p>
      <w:pPr>
        <w:numPr>
          <w:numId w:val="1002"/>
          <w:ilvl w:val="0"/>
        </w:numPr>
      </w:pPr>
      <w:r>
        <w:rPr>
          <w:i/>
        </w:rPr>
        <w:t xml:space="preserve">10:10 ratio: is a measure of inequality in quantile distributions. we here mean that we divide the average value of the population in the top decile by that of the bottom decile. for expenditure, for example, a 10:10 ratio of 5 means that households in the top decile spend 5 times more on average than those in the bottom decile.</w:t>
      </w:r>
    </w:p>
    <w:p>
      <w:pPr>
        <w:numPr>
          <w:numId w:val="1002"/>
          <w:ilvl w:val="0"/>
        </w:numPr>
      </w:pPr>
      <w:r>
        <w:rPr>
          <w:i/>
        </w:rPr>
        <w:t xml:space="preserve">Ressource footprints: energy, what type, GHGs what gases, including direct</w:t>
      </w:r>
    </w:p>
    <w:p>
      <w:pPr>
        <w:numPr>
          <w:numId w:val="1002"/>
          <w:ilvl w:val="0"/>
        </w:numPr>
      </w:pPr>
      <w:r>
        <w:rPr>
          <w:i/>
        </w:rPr>
        <w:t xml:space="preserve">MRIO</w:t>
      </w:r>
    </w:p>
    <w:p>
      <w:pPr>
        <w:pStyle w:val="Heading1"/>
      </w:pPr>
      <w:bookmarkStart w:id="23" w:name="results"/>
      <w:r>
        <w:t xml:space="preserve">Results</w:t>
      </w:r>
      <w:bookmarkEnd w:id="23"/>
    </w:p>
    <w:p>
      <w:pPr>
        <w:pStyle w:val="Heading2"/>
      </w:pPr>
      <w:bookmarkStart w:id="24" w:name="X26300b2b5605988fcaa0fef1c2d3a9c6379bd1b"/>
      <w:r>
        <w:t xml:space="preserve">Resource footprints are less unequal than expenditure levels</w:t>
      </w:r>
      <w:bookmarkEnd w:id="24"/>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5"/>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6"/>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7"/>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8"/>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29" w:name="Xa5ec6b06a9f98c59372e9d5ceb51319bf0d5548"/>
      <w:r>
        <w:t xml:space="preserve">Inequality across final consumption sectors</w:t>
      </w:r>
      <w:bookmarkEnd w:id="29"/>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30"/>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1"/>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2" w:name="counterfactual-a-1.5c-compatible-europe"/>
      <w:r>
        <w:t xml:space="preserve">Counterfactual: a 1.5°C compatible Europe</w:t>
      </w:r>
      <w:bookmarkEnd w:id="32"/>
    </w:p>
    <w:p>
      <w:pPr>
        <w:pStyle w:val="FirstParagraph"/>
      </w:pPr>
      <w:r>
        <w:t xml:space="preserve">In order to assess the level of inequality in energy footprints that is compatible with global 1.5°C scenarios we take two steps:</w:t>
      </w:r>
    </w:p>
    <w:p>
      <w:pPr>
        <w:numPr>
          <w:numId w:val="1003"/>
          <w:ilvl w:val="0"/>
        </w:numPr>
      </w:pPr>
      <w:r>
        <w:t xml:space="preserve">We apply a per sector current empirical best technology transformation to all consumption across Europe and assess the energy (and emissions savings) from for expenditure deciles and countries</w:t>
      </w:r>
    </w:p>
    <w:p>
      <w:pPr>
        <w:numPr>
          <w:numId w:val="1003"/>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3" w:name="X2dd794aa03f2c63ef4370bbc84e8c987b3f3651"/>
      <w:r>
        <w:t xml:space="preserve">Current empirical best technology per sector</w:t>
      </w:r>
      <w:bookmarkEnd w:id="33"/>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4"/>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82290"/>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5"/>
                    <a:stretch>
                      <a:fillRect/>
                    </a:stretch>
                  </pic:blipFill>
                  <pic:spPr bwMode="auto">
                    <a:xfrm>
                      <a:off x="0" y="0"/>
                      <a:ext cx="5943600" cy="3782290"/>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4"/>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4"/>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4"/>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6" w:name="inequality-in-a-1.5c-compatible-europe"/>
      <w:r>
        <w:t xml:space="preserve">Inequality in a 1.5°C compatible Europe</w:t>
      </w:r>
      <w:bookmarkEnd w:id="36"/>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10-1.png" id="0" name="Picture"/>
                    <pic:cNvPicPr>
                      <a:picLocks noChangeArrowheads="1" noChangeAspect="1"/>
                    </pic:cNvPicPr>
                  </pic:nvPicPr>
                  <pic:blipFill>
                    <a:blip r:embed="rId37"/>
                    <a:stretch>
                      <a:fillRect/>
                    </a:stretch>
                  </pic:blipFill>
                  <pic:spPr bwMode="auto">
                    <a:xfrm>
                      <a:off x="0" y="0"/>
                      <a:ext cx="5943600" cy="4669971"/>
                    </a:xfrm>
                    <a:prstGeom prst="rect">
                      <a:avLst/>
                    </a:prstGeom>
                    <a:noFill/>
                    <a:ln w="9525">
                      <a:noFill/>
                      <a:headEnd/>
                      <a:tailEnd/>
                    </a:ln>
                  </pic:spPr>
                </pic:pic>
              </a:graphicData>
            </a:graphic>
          </wp:inline>
        </w:drawing>
      </w:r>
    </w:p>
    <w:p>
      <w:pPr>
        <w:numPr>
          <w:numId w:val="1005"/>
          <w:ilvl w:val="0"/>
        </w:numPr>
      </w:pPr>
      <w:r>
        <w:t xml:space="preserve">We introduce the main global 1.5°C compatible scenarios with their energy supply and their assumptions for minimal energy demand for a decent life (maybe table).</w:t>
      </w:r>
    </w:p>
    <w:p>
      <w:pPr>
        <w:numPr>
          <w:numId w:val="1005"/>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5"/>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8"/>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9" w:name="discussion"/>
      <w:r>
        <w:t xml:space="preserve">Discussion</w:t>
      </w:r>
      <w:bookmarkEnd w:id="39"/>
    </w:p>
    <w:p>
      <w:pPr>
        <w:pStyle w:val="Heading1"/>
      </w:pPr>
      <w:bookmarkStart w:id="40" w:name="conclusion"/>
      <w:r>
        <w:t xml:space="preserve">Conclusion</w:t>
      </w:r>
      <w:bookmarkEnd w:id="40"/>
    </w:p>
    <w:p>
      <w:pPr>
        <w:pStyle w:val="Heading1"/>
      </w:pPr>
      <w:bookmarkStart w:id="41" w:name="acknowledgements"/>
      <w:r>
        <w:t xml:space="preserve">Acknowledgements</w:t>
      </w:r>
      <w:bookmarkEnd w:id="41"/>
    </w:p>
    <w:p>
      <w:r>
        <w:br w:type="page"/>
      </w:r>
    </w:p>
    <w:p>
      <w:pPr>
        <w:pStyle w:val="Heading1"/>
      </w:pPr>
      <w:bookmarkStart w:id="42" w:name="references"/>
      <w:r>
        <w:t xml:space="preserve">References</w:t>
      </w:r>
      <w:bookmarkEnd w:id="42"/>
    </w:p>
    <w:bookmarkStart w:id="55" w:name="refs"/>
    <w:bookmarkStart w:id="44"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3">
        <w:r>
          <w:rPr>
            <w:rStyle w:val="Hyperlink"/>
          </w:rPr>
          <w:t xml:space="preserve">https://doi.org/10.1038/s41558-018-0121-1</w:t>
        </w:r>
      </w:hyperlink>
    </w:p>
    <w:bookmarkEnd w:id="44"/>
    <w:bookmarkStart w:id="46"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5">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6"/>
    <w:bookmarkStart w:id="48"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7">
        <w:r>
          <w:rPr>
            <w:rStyle w:val="Hyperlink"/>
          </w:rPr>
          <w:t xml:space="preserve">https://doi.org/10.1088/1748-9326/ab8589</w:t>
        </w:r>
      </w:hyperlink>
    </w:p>
    <w:bookmarkEnd w:id="48"/>
    <w:bookmarkStart w:id="50"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9">
        <w:r>
          <w:rPr>
            <w:rStyle w:val="Hyperlink"/>
          </w:rPr>
          <w:t xml:space="preserve">https://doi.org/10.1088/1748-9326/aa6da9</w:t>
        </w:r>
      </w:hyperlink>
    </w:p>
    <w:bookmarkEnd w:id="50"/>
    <w:bookmarkStart w:id="52"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1">
        <w:r>
          <w:rPr>
            <w:rStyle w:val="Hyperlink"/>
          </w:rPr>
          <w:t xml:space="preserve">https://doi.org/10.1016/j.gloenvcha.2020.102168</w:t>
        </w:r>
      </w:hyperlink>
    </w:p>
    <w:bookmarkEnd w:id="52"/>
    <w:bookmarkStart w:id="54"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3">
        <w:r>
          <w:rPr>
            <w:rStyle w:val="Hyperlink"/>
          </w:rPr>
          <w:t xml:space="preserve">https://doi.org/10.1038/s41560-020-0579-8</w:t>
        </w:r>
      </w:hyperlink>
    </w:p>
    <w:bookmarkEnd w:id="54"/>
    <w:bookmarkEnd w:id="55"/>
    <w:p>
      <w:r>
        <w:br w:type="page"/>
      </w:r>
    </w:p>
    <w:p>
      <w:pPr>
        <w:pStyle w:val="Heading3"/>
      </w:pPr>
      <w:bookmarkStart w:id="56" w:name="colophon"/>
      <w:r>
        <w:t xml:space="preserve">Colophon</w:t>
      </w:r>
      <w:bookmarkEnd w:id="56"/>
    </w:p>
    <w:p>
      <w:pPr>
        <w:pStyle w:val="FirstParagraph"/>
      </w:pPr>
      <w:r>
        <w:t xml:space="preserve">This report was generated on 2020-12-07 12:15:05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2020-12-07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[e182488] 2020-12-07: edit figures code</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1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5" Target="media/rId25.png" /><Relationship Type="http://schemas.openxmlformats.org/officeDocument/2006/relationships/image" Id="rId37" Target="media/rId37.png" /><Relationship Type="http://schemas.openxmlformats.org/officeDocument/2006/relationships/image" Id="rId27" Target="media/rId27.png" /><Relationship Type="http://schemas.openxmlformats.org/officeDocument/2006/relationships/image" Id="rId30" Target="media/rId30.png" /><Relationship Type="http://schemas.openxmlformats.org/officeDocument/2006/relationships/image" Id="rId34" Target="media/rId34.png" /><Relationship Type="http://schemas.openxmlformats.org/officeDocument/2006/relationships/image" Id="rId26" Target="media/rId26.pdf" /><Relationship Type="http://schemas.openxmlformats.org/officeDocument/2006/relationships/image" Id="rId28" Target="media/rId28.pdf" /><Relationship Type="http://schemas.openxmlformats.org/officeDocument/2006/relationships/image" Id="rId31" Target="media/rId31.pdf" /><Relationship Type="http://schemas.openxmlformats.org/officeDocument/2006/relationships/image" Id="rId35" Target="media/rId35.pdf" /><Relationship Type="http://schemas.openxmlformats.org/officeDocument/2006/relationships/image" Id="rId38" Target="media/rId38.pdf" /><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S. Jaccard1, Peter-Paul Pichler1, Johannes Többen1, and Helga Weisz1,2</dc:creator>
  <cp:keywords/>
  <dcterms:created xsi:type="dcterms:W3CDTF">2020-12-07T11:15:09Z</dcterms:created>
  <dcterms:modified xsi:type="dcterms:W3CDTF">2020-12-07T11:15:09Z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07 Dezember, 2020</vt:lpwstr>
  </property>
  <property fmtid="{D5CDD505-2E9C-101B-9397-08002B2CF9AE}" pid="6" name="highlights">
    <vt:lpwstr>These are the highlights.</vt:lpwstr>
  </property>
  <property fmtid="{D5CDD505-2E9C-101B-9397-08002B2CF9AE}" pid="7" name="output">
    <vt:lpwstr/>
  </property>
</Properties>
</file>