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2.png" ContentType="image/png"/>
  <Override PartName="/word/media/rId44.png" ContentType="image/png"/>
  <Override PartName="/word/media/rId46.png" ContentType="image/png"/>
  <Override PartName="/word/media/rId48.png" ContentType="image/png"/>
  <Override PartName="/word/media/rId50.png" ContentType="image/png"/>
  <Override PartName="/word/media/rId36.png" ContentType="image/png"/>
  <Override PartName="/word/media/rId52.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The</w:t>
      </w:r>
      <w:r>
        <w:t xml:space="preserve"> </w:t>
      </w:r>
      <w:r>
        <w:t xml:space="preserve">energy</w:t>
      </w:r>
      <w:r>
        <w:t xml:space="preserve"> </w:t>
      </w:r>
      <w:r>
        <w:t xml:space="preserve">and</w:t>
      </w:r>
      <w:r>
        <w:t xml:space="preserve"> </w:t>
      </w:r>
      <w:r>
        <w:t xml:space="preserve">carbon</w:t>
      </w:r>
      <w:r>
        <w:t xml:space="preserve"> </w:t>
      </w:r>
      <w:r>
        <w:t xml:space="preserve">inequality</w:t>
      </w:r>
      <w:r>
        <w:t xml:space="preserve"> </w:t>
      </w:r>
      <w:r>
        <w:t xml:space="preserve">corridor</w:t>
      </w:r>
      <w:r>
        <w:t xml:space="preserve"> </w:t>
      </w:r>
      <w:r>
        <w:t xml:space="preserve">for</w:t>
      </w:r>
      <w:r>
        <w:t xml:space="preserve"> </w:t>
      </w:r>
      <w:r>
        <w:t xml:space="preserve">a</w:t>
      </w:r>
      <w:r>
        <w:t xml:space="preserve"> </w:t>
      </w:r>
      <w:r>
        <w:t xml:space="preserve">1.5°C</w:t>
      </w:r>
      <w:r>
        <w:t xml:space="preserve"> </w:t>
      </w:r>
      <w:r>
        <w:t xml:space="preserve">compatible</w:t>
      </w:r>
      <w:r>
        <w:t xml:space="preserve"> </w:t>
      </w:r>
      <w:r>
        <w:t xml:space="preserve">and</w:t>
      </w:r>
      <w:r>
        <w:t xml:space="preserve"> </w:t>
      </w:r>
      <w:r>
        <w:t xml:space="preserve">just</w:t>
      </w:r>
      <w:r>
        <w:t xml:space="preserve"> </w:t>
      </w:r>
      <w:r>
        <w:t xml:space="preserve">Europe: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rPr>
          <w:vertAlign w:val="superscript"/>
        </w:rPr>
        <w:t xml:space="preserve">,</w:t>
      </w:r>
      <w:r>
        <w:rPr>
          <w:vertAlign w:val="superscript"/>
        </w:rPr>
        <w:t xml:space="preserve">3</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r>
        <w:br/>
      </w:r>
      <w:r>
        <w:rPr>
          <w:vertAlign w:val="superscript"/>
        </w:rPr>
        <w:t xml:space="preserve">3</w:t>
      </w:r>
      <w:r>
        <w:t xml:space="preserve"> </w:t>
      </w:r>
      <w:r>
        <w:t xml:space="preserve">Gesellschaft für Wirtschaftliche Strukturforschung (GWS) mbH, Heinrichstraße 30, 49080 Osnabrück, Germany</w:t>
      </w:r>
    </w:p>
    <w:p>
      <w:pPr>
        <w:pStyle w:val="BodyText"/>
      </w:pPr>
      <w:r>
        <w:t xml:space="preserve">Content: 35 pages, 13 tables, 7 figures</w:t>
      </w:r>
    </w:p>
    <w:p>
      <w:pPr>
        <w:pStyle w:val="Heading1"/>
      </w:pPr>
      <w:bookmarkStart w:id="20" w:name="supplementary-materials-and-methods"/>
      <w:r>
        <w:t xml:space="preserve">Supplementary Materials and Methods</w:t>
      </w:r>
      <w:bookmarkEnd w:id="20"/>
    </w:p>
    <w:p>
      <w:pPr>
        <w:pStyle w:val="FirstParagraph"/>
      </w:pPr>
      <w:r>
        <w:t xml:space="preserve">In this paper we first stratified EXIOBASE national household energy and carbon footprints by income quintile, using data from the EUROSTAT Household Budget Survey (HBS). We then ranked all of these national income quintiles (140 quintiles in total: 28 countries x 5 national income quintiles) according to their mean expenditure in purchasing power standards (PPS), and aggregated them into 10 European expenditure deciles. The resultant household energy and carbon footprints per European expenditure decile in the year 2015 are then our level of analysis through the whole main paper. In this SI document, we explain these steps in more detail, discuss limitations, and provide some supplementary results at the end.</w:t>
      </w:r>
    </w:p>
    <w:p>
      <w:pPr>
        <w:pStyle w:val="Heading2"/>
      </w:pPr>
      <w:bookmarkStart w:id="21" w:name="Xbe52612aa2a08d9191ee3670ef3da1063ab3590"/>
      <w:r>
        <w:t xml:space="preserve">Income-stratified national household energy and carbon footprints</w:t>
      </w:r>
      <w:bookmarkEnd w:id="21"/>
    </w:p>
    <w:p>
      <w:pPr>
        <w:pStyle w:val="FirstParagraph"/>
      </w:pPr>
      <w:r>
        <w:t xml:space="preserve">The first step was stratifying an Environmentally-Extended Multi-Regional Input-Output (EE-MRIO) model’s household final demand expenditure by income quantile, and then multiplying this income-stratified expenditure by</w:t>
      </w:r>
      <w:r>
        <w:t xml:space="preserve"> </w:t>
      </w:r>
      <w:r>
        <w:t xml:space="preserve">‘</w:t>
      </w:r>
      <w:r>
        <w:t xml:space="preserve">direct and indirect supply chain</w:t>
      </w:r>
      <w:r>
        <w:t xml:space="preserve">’</w:t>
      </w:r>
      <w:r>
        <w:t xml:space="preserve"> </w:t>
      </w:r>
      <w:r>
        <w:t xml:space="preserve">environmental intensities calculated in the EE-MRIO to estimate income-stratified national household environmental footprints.</w:t>
      </w:r>
    </w:p>
    <w:p>
      <w:pPr>
        <w:pStyle w:val="BodyText"/>
      </w:pPr>
      <w:r>
        <w:t xml:space="preserve">An EE-MRIO can calculate national environmental footprints from final demand expenditure. Final demand expenditure on different production sectors, in monetary units, is multiplied by</w:t>
      </w:r>
      <w:r>
        <w:t xml:space="preserve"> </w:t>
      </w:r>
      <w:r>
        <w:t xml:space="preserve">‘</w:t>
      </w:r>
      <w:r>
        <w:t xml:space="preserve">direct and indirect supply chain</w:t>
      </w:r>
      <w:r>
        <w:t xml:space="preserve">’</w:t>
      </w:r>
      <w:r>
        <w:t xml:space="preserve"> </w:t>
      </w:r>
      <w:r>
        <w:t xml:space="preserve">environmental intensities per production sector to calculate the environmental footprint (for one year). The</w:t>
      </w:r>
      <w:r>
        <w:t xml:space="preserve"> </w:t>
      </w:r>
      <w:r>
        <w:t xml:space="preserve">‘</w:t>
      </w:r>
      <w:r>
        <w:t xml:space="preserve">direct and indirect supply chain</w:t>
      </w:r>
      <w:r>
        <w:t xml:space="preserve">’</w:t>
      </w:r>
      <w:r>
        <w:t xml:space="preserve"> </w:t>
      </w:r>
      <w:r>
        <w:t xml:space="preserve">intensities per production sector estimate the total physical amount of environmental extension, whether emissions, energy use, etc., anywhere along the supply chain per monetary unit of final demand expenditure.</w:t>
      </w:r>
    </w:p>
    <w:p>
      <w:pPr>
        <w:pStyle w:val="BodyText"/>
      </w:pPr>
      <w:r>
        <w:t xml:space="preserve">In this way, the global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direct and indirect supply chain</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current publicly available EE-MRIOs do not stratify their final demand expenditure by income quantile. The underlying distribution of final demand expenditure and footprint across income groups is therefore hidden.</w:t>
      </w:r>
    </w:p>
    <w:p>
      <w:pPr>
        <w:pStyle w:val="BodyText"/>
      </w:pPr>
      <w:r>
        <w:t xml:space="preserve">In order to stratify the EE-MRIO final demand expenditure and footprint by income quantile, a second data input is needed with information on the income/expenditure distribution. This could be a household budget survey (HBS) stratified by income quantile or, at a more aggregate level, the national income distribution. In this paper we use:</w:t>
      </w:r>
    </w:p>
    <w:p>
      <w:pPr>
        <w:numPr>
          <w:numId w:val="1001"/>
          <w:ilvl w:val="0"/>
        </w:numPr>
      </w:pPr>
      <w:r>
        <w:t xml:space="preserve">EE-MRIO: EXIOBASE version3 ixi, from:</w:t>
      </w:r>
      <w:r>
        <w:t xml:space="preserve"> </w:t>
      </w:r>
      <w:hyperlink r:id="rId22">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3">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from the main paper and some limitations. The final sub-section in</w:t>
      </w:r>
      <w:r>
        <w:t xml:space="preserve"> </w:t>
      </w:r>
      <w:r>
        <w:t xml:space="preserve">‘</w:t>
      </w:r>
      <w:r>
        <w:t xml:space="preserve">supplementary materials and methods</w:t>
      </w:r>
      <w:r>
        <w:t xml:space="preserve">’</w:t>
      </w:r>
      <w:r>
        <w:t xml:space="preserve"> </w:t>
      </w:r>
      <w:r>
        <w:t xml:space="preserve">presents an alternative methodology, and the final section of this supplementary information document presents supplementary results from the methodology used in the main paper and the alternative methodology. The whole analysis was performed in RStudio</w:t>
      </w:r>
      <w:r>
        <w:t xml:space="preserve"> </w:t>
      </w:r>
      <w:r>
        <w:t xml:space="preserve">(4)</w:t>
      </w:r>
      <w:r>
        <w:t xml:space="preserve">, using a variety of R packages</w:t>
      </w:r>
      <w:r>
        <w:t xml:space="preserve"> </w:t>
      </w:r>
      <w:r>
        <w:t xml:space="preserve">(5)</w:t>
      </w:r>
      <w:r>
        <w:t xml:space="preserve">.</w:t>
      </w:r>
    </w:p>
    <w:p>
      <w:pPr>
        <w:pStyle w:val="Heading3"/>
      </w:pPr>
      <w:bookmarkStart w:id="24" w:name="exiobase"/>
      <w:r>
        <w:t xml:space="preserve">EXIOBASE</w:t>
      </w:r>
      <w:bookmarkEnd w:id="24"/>
    </w:p>
    <w:p>
      <w:pPr>
        <w:pStyle w:val="FirstParagraph"/>
      </w:pPr>
      <w:r>
        <w:t xml:space="preserve">We use standard input-output calculations to calculate</w:t>
      </w:r>
      <w:r>
        <w:t xml:space="preserve"> </w:t>
      </w:r>
      <w:r>
        <w:t xml:space="preserve">‘</w:t>
      </w:r>
      <w:r>
        <w:t xml:space="preserve">direct and indirect supply chain</w:t>
      </w:r>
      <w:r>
        <w:t xml:space="preserve">’</w:t>
      </w:r>
      <w:r>
        <w:t xml:space="preserve"> </w:t>
      </w:r>
      <w:r>
        <w:t xml:space="preserve">intensity vectors in EXIOBASE</w:t>
      </w:r>
      <w:r>
        <w:t xml:space="preserve"> </w:t>
      </w:r>
      <w:r>
        <w:t xml:space="preserve">(21)</w:t>
      </w:r>
      <w:r>
        <w:t xml:space="preserve">. EXIOBASE publishes the A matrix, the final demand matrix, the satellite extensions matrix, and satellite extensions direct from final demand matrix. We use the industry-by-industry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w:t>
      </w:r>
      <w:r>
        <w:t xml:space="preserve"> </w:t>
      </w:r>
      <w:r>
        <w:t xml:space="preserve">‘</w:t>
      </w:r>
      <w:r>
        <w:t xml:space="preserve">direct and indirect supply chain</w:t>
      </w:r>
      <w:r>
        <w:t xml:space="preserve">’</w:t>
      </w:r>
      <w:r>
        <w:t xml:space="preserve"> </w:t>
      </w:r>
      <w:r>
        <w:t xml:space="preserve">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stratify national household final demand expenditure by income quintile according to the structure of the EUROSTAT HBS,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4"/>
      </w:pPr>
      <w:bookmarkStart w:id="25" w:name="environmental-extensions"/>
      <w:r>
        <w:t xml:space="preserve">Environmental extensions</w:t>
      </w:r>
      <w:bookmarkEnd w:id="25"/>
    </w:p>
    <w:p>
      <w:pPr>
        <w:pStyle w:val="FirstParagraph"/>
      </w:pPr>
      <w:r>
        <w:t xml:space="preserve">The environmental extensions we use are emissions of CO2-equivalence (in kilograms) and</w:t>
      </w:r>
      <w:r>
        <w:t xml:space="preserve"> </w:t>
      </w:r>
      <w:r>
        <w:t xml:space="preserve">‘</w:t>
      </w:r>
      <w:r>
        <w:t xml:space="preserve">gross total energy use</w:t>
      </w:r>
      <w:r>
        <w:t xml:space="preserve">’</w:t>
      </w:r>
      <w:r>
        <w:t xml:space="preserve"> </w:t>
      </w:r>
      <w:r>
        <w:t xml:space="preserve">(in terajoules). We create the CO2-equivalence extension by summing together the greenhouse gases CO2, CH4, N2O, SF6, HFCs, and PFCs, from combustion, noncombustion, agriculture and waste. We use Global Warming Potential (GWP) values for a 100-year time horizon taken from the IPCC Fifth Assessment Report</w:t>
      </w:r>
      <w:r>
        <w:t xml:space="preserve"> </w:t>
      </w:r>
      <w:r>
        <w:t xml:space="preserve">(22)</w:t>
      </w:r>
      <w:r>
        <w:t xml:space="preserve">: 28 for CH4, 265 for N2O and 23500 for SF6 (HFCs and PFCs are in CO2-equivalence already in the EXIOBASE environmental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International Energy Agency (IEA) energy balance data from the territorial to residence principle following System of Environmental Economic Accounting (SEEA) energy accounting principles. In their Supporting Information 2, Stadler et al. (2018)</w:t>
      </w:r>
      <w:r>
        <w:t xml:space="preserve"> </w:t>
      </w:r>
      <w:r>
        <w:t xml:space="preserve">(1)</w:t>
      </w:r>
      <w:r>
        <w:t xml:space="preserve"> </w:t>
      </w:r>
      <w:r>
        <w:t xml:space="preserve">describe the compilation of the energy extensions in EXIOBASE version3. Energy supply and use tables from the IEA are converted from the territory to the residence principle before being allocated to the EXIOBASE industries and final demand categories.</w:t>
      </w:r>
    </w:p>
    <w:p>
      <w:pPr>
        <w:pStyle w:val="BodyText"/>
      </w:pPr>
      <w:r>
        <w:t xml:space="preserve">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is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4"/>
      </w:pPr>
      <w:bookmarkStart w:id="26" w:name="X02a4e6e6afb08f4eea7f3cf6b179b994a11a010"/>
      <w:r>
        <w:t xml:space="preserve">Environmental extensions direct from households</w:t>
      </w:r>
      <w:bookmarkEnd w:id="26"/>
    </w:p>
    <w:p>
      <w:pPr>
        <w:pStyle w:val="FirstParagraph"/>
      </w:pPr>
      <w:r>
        <w:t xml:space="preserve">For CO2-equivalence emissions and energy use direct from households, the EXIOBASE extensions provide one number of physical emissions and energy use direct from households per country. This number is made up of some mix between, primarily, direct household vehicle fuel use and direct household fuel use for housing heating and cooling, along with some other, smaller miscellaneous uses. To estimate the split between these three activities,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Full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(23)</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2005 and 2010 results are shown only in this SI document).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7">
        <w:r>
          <w:rPr>
            <w:rStyle w:val="Hyperlink"/>
          </w:rPr>
          <w:t xml:space="preserve">http://appsso.eurostat.ec.europa.eu/nui/show.do?dataset=env_ac_pefasu</w:t>
        </w:r>
      </w:hyperlink>
      <w:r>
        <w:t xml:space="preserve"> </w:t>
      </w:r>
      <w:r>
        <w:t xml:space="preserve">[accessed on 03.06.2020].</w:t>
      </w:r>
      <w:r>
        <w:t xml:space="preserve"> </w:t>
      </w:r>
      <w:r>
        <w:t xml:space="preserve">(24)</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8">
        <w:r>
          <w:rPr>
            <w:rStyle w:val="Hyperlink"/>
          </w:rPr>
          <w:t xml:space="preserve">https://appsso.eurostat.ec.europa.eu/nui/show.do?dataset=env_ac_ainah_r2&amp;lang=en</w:t>
        </w:r>
      </w:hyperlink>
      <w:r>
        <w:t xml:space="preserve"> </w:t>
      </w:r>
      <w:r>
        <w:t xml:space="preserve">[accessed on 03.06.2020].</w:t>
      </w:r>
      <w:r>
        <w:t xml:space="preserve"> </w:t>
      </w:r>
      <w:r>
        <w:t xml:space="preserve">(25)</w:t>
      </w:r>
    </w:p>
    <w:p>
      <w:pPr>
        <w:pStyle w:val="Heading3"/>
      </w:pPr>
      <w:bookmarkStart w:id="29" w:name="eurostat-hbs"/>
      <w:r>
        <w:t xml:space="preserve">EUROSTAT HBS</w:t>
      </w:r>
      <w:bookmarkEnd w:id="29"/>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standards (PPS) per year, country and income quintile, in two possible units; per household and per adult equivalent. Purchasing power standard (PPS) is a common currency measure that eliminates differences in national price-levels. The income quintiles are determined by household, ie. all households in the sample are ranked by income and evenly distributed into five quintiles, thus there are the same number of households in each income quintile. For per adult equivalent,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(26)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there are only a few with level 3. For the current analysis, we select our own mix of COICOP level 1 and 2. We use COICOP level 1, except for the categories of food (CP01), housing (CP04) and mobility (CP07), where we use level 2.</w:t>
      </w:r>
    </w:p>
    <w:p>
      <w:pPr>
        <w:pStyle w:val="BodyText"/>
      </w:pPr>
      <w:r>
        <w:t xml:space="preserve">This is primarily because of the diversity of level 2 categories, especially within those three aggregate level 1 categories. This is most clearly seen in the housing category, where, at level 2, housing is broken down into:</w:t>
      </w:r>
      <w:r>
        <w:t xml:space="preserve"> </w:t>
      </w:r>
      <w:r>
        <w:t xml:space="preserve">‘</w:t>
      </w:r>
      <w:r>
        <w:t xml:space="preserve">Actual rentals for housing</w:t>
      </w:r>
      <w:r>
        <w:t xml:space="preserve">’</w:t>
      </w:r>
      <w:r>
        <w:t xml:space="preserve"> </w:t>
      </w:r>
      <w:r>
        <w:t xml:space="preserve">(CP041),</w:t>
      </w:r>
      <w:r>
        <w:t xml:space="preserve"> </w:t>
      </w:r>
      <w:r>
        <w:t xml:space="preserve">‘</w:t>
      </w:r>
      <w:r>
        <w:t xml:space="preserve">Imputed rentals for housing</w:t>
      </w:r>
      <w:r>
        <w:t xml:space="preserve">’</w:t>
      </w:r>
      <w:r>
        <w:t xml:space="preserve"> </w:t>
      </w:r>
      <w:r>
        <w:t xml:space="preserve">(CP042),</w:t>
      </w:r>
      <w:r>
        <w:t xml:space="preserve"> </w:t>
      </w:r>
      <w:r>
        <w:t xml:space="preserve">‘</w:t>
      </w:r>
      <w:r>
        <w:t xml:space="preserve">Maintenance and repair of the dwelling</w:t>
      </w:r>
      <w:r>
        <w:t xml:space="preserve">’</w:t>
      </w:r>
      <w:r>
        <w:t xml:space="preserve"> </w:t>
      </w:r>
      <w:r>
        <w:t xml:space="preserve">(CP043),</w:t>
      </w:r>
      <w:r>
        <w:t xml:space="preserve"> </w:t>
      </w:r>
      <w:r>
        <w:t xml:space="preserve">‘</w:t>
      </w:r>
      <w:r>
        <w:t xml:space="preserve">Water supply and miscellaneous services relating to the dwelling</w:t>
      </w:r>
      <w:r>
        <w:t xml:space="preserve">’</w:t>
      </w:r>
      <w:r>
        <w:t xml:space="preserve"> </w:t>
      </w:r>
      <w:r>
        <w:t xml:space="preserve">(CP044), and</w:t>
      </w:r>
      <w:r>
        <w:t xml:space="preserve"> </w:t>
      </w:r>
      <w:r>
        <w:t xml:space="preserve">‘</w:t>
      </w:r>
      <w:r>
        <w:t xml:space="preserve">Electricity, gas and other fuels</w:t>
      </w:r>
      <w:r>
        <w:t xml:space="preserve">’</w:t>
      </w:r>
      <w:r>
        <w:t xml:space="preserve"> </w:t>
      </w:r>
      <w:r>
        <w:t xml:space="preserve">(CP045). Mapping all housing-related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The COICOP consumption categories we thus use are: CP011 (</w:t>
      </w:r>
      <w:r>
        <w:t xml:space="preserve">‘</w:t>
      </w:r>
      <w:r>
        <w:t xml:space="preserve">Food</w:t>
      </w:r>
      <w:r>
        <w:t xml:space="preserve">’</w:t>
      </w:r>
      <w:r>
        <w:t xml:space="preserve">), CP012 (</w:t>
      </w:r>
      <w:r>
        <w:t xml:space="preserve">‘</w:t>
      </w:r>
      <w:r>
        <w:t xml:space="preserve">Non-alcoholic beverages</w:t>
      </w:r>
      <w:r>
        <w:t xml:space="preserve">’</w:t>
      </w:r>
      <w:r>
        <w:t xml:space="preserve">), CP02 (</w:t>
      </w:r>
      <w:r>
        <w:t xml:space="preserve">‘</w:t>
      </w:r>
      <w:r>
        <w:t xml:space="preserve">Alcoholic beverages, tobacco and narcotics</w:t>
      </w:r>
      <w:r>
        <w:t xml:space="preserve">’</w:t>
      </w:r>
      <w:r>
        <w:t xml:space="preserve">), CP03 (</w:t>
      </w:r>
      <w:r>
        <w:t xml:space="preserve">‘</w:t>
      </w:r>
      <w:r>
        <w:t xml:space="preserve">Clothing and footwear</w:t>
      </w:r>
      <w:r>
        <w:t xml:space="preserve">’</w:t>
      </w:r>
      <w:r>
        <w:t xml:space="preserve">),</w:t>
      </w:r>
      <w:r>
        <w:t xml:space="preserve"> </w:t>
      </w:r>
      <w:r>
        <w:t xml:space="preserve">‘</w:t>
      </w:r>
      <w:r>
        <w:t xml:space="preserve">rent</w:t>
      </w:r>
      <w:r>
        <w:t xml:space="preserve">’</w:t>
      </w:r>
      <w:r>
        <w:t xml:space="preserve"> </w:t>
      </w:r>
      <w:r>
        <w:t xml:space="preserve">(we collapse CP041 with CP042), CP043, CP044, CP045, CP05 (</w:t>
      </w:r>
      <w:r>
        <w:t xml:space="preserve">‘</w:t>
      </w:r>
      <w:r>
        <w:t xml:space="preserve">Furnishings, household equipment and routine household maintenance</w:t>
      </w:r>
      <w:r>
        <w:t xml:space="preserve">’</w:t>
      </w:r>
      <w:r>
        <w:t xml:space="preserve">), CP06 (</w:t>
      </w:r>
      <w:r>
        <w:t xml:space="preserve">‘</w:t>
      </w:r>
      <w:r>
        <w:t xml:space="preserve">Health</w:t>
      </w:r>
      <w:r>
        <w:t xml:space="preserve">’</w:t>
      </w:r>
      <w:r>
        <w:t xml:space="preserve">), CP071 (</w:t>
      </w:r>
      <w:r>
        <w:t xml:space="preserve">‘</w:t>
      </w:r>
      <w:r>
        <w:t xml:space="preserve">Purchase of vehicles</w:t>
      </w:r>
      <w:r>
        <w:t xml:space="preserve">’</w:t>
      </w:r>
      <w:r>
        <w:t xml:space="preserve">), CP072 (</w:t>
      </w:r>
      <w:r>
        <w:t xml:space="preserve">‘</w:t>
      </w:r>
      <w:r>
        <w:t xml:space="preserve">Operation of personal transport equipment</w:t>
      </w:r>
      <w:r>
        <w:t xml:space="preserve">’</w:t>
      </w:r>
      <w:r>
        <w:t xml:space="preserve">), CP073 (</w:t>
      </w:r>
      <w:r>
        <w:t xml:space="preserve">‘</w:t>
      </w:r>
      <w:r>
        <w:t xml:space="preserve">Transport services</w:t>
      </w:r>
      <w:r>
        <w:t xml:space="preserve">’</w:t>
      </w:r>
      <w:r>
        <w:t xml:space="preserve">), CP08 (</w:t>
      </w:r>
      <w:r>
        <w:t xml:space="preserve">‘</w:t>
      </w:r>
      <w:r>
        <w:t xml:space="preserve">Communications</w:t>
      </w:r>
      <w:r>
        <w:t xml:space="preserve">’</w:t>
      </w:r>
      <w:r>
        <w:t xml:space="preserve">), CP09 (</w:t>
      </w:r>
      <w:r>
        <w:t xml:space="preserve">‘</w:t>
      </w:r>
      <w:r>
        <w:t xml:space="preserve">Recreation and culture</w:t>
      </w:r>
      <w:r>
        <w:t xml:space="preserve">’</w:t>
      </w:r>
      <w:r>
        <w:t xml:space="preserve">), CP10 (</w:t>
      </w:r>
      <w:r>
        <w:t xml:space="preserve">‘</w:t>
      </w:r>
      <w:r>
        <w:t xml:space="preserve">Education</w:t>
      </w:r>
      <w:r>
        <w:t xml:space="preserve">’</w:t>
      </w:r>
      <w:r>
        <w:t xml:space="preserve">), CP11 (</w:t>
      </w:r>
      <w:r>
        <w:t xml:space="preserve">‘</w:t>
      </w:r>
      <w:r>
        <w:t xml:space="preserve">Restaurants and hotels</w:t>
      </w:r>
      <w:r>
        <w:t xml:space="preserve">’</w:t>
      </w:r>
      <w:r>
        <w:t xml:space="preserve">), CP12 (</w:t>
      </w:r>
      <w:r>
        <w:t xml:space="preserve">‘</w:t>
      </w:r>
      <w:r>
        <w:t xml:space="preserve">Miscellaneous goods and services</w:t>
      </w:r>
      <w:r>
        <w:t xml:space="preserve">’</w:t>
      </w:r>
      <w:r>
        <w:t xml:space="preserve">).</w:t>
      </w:r>
    </w:p>
    <w:p>
      <w:pPr>
        <w:pStyle w:val="BodyText"/>
      </w:pPr>
      <w:r>
        <w:t xml:space="preserve">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per household and per adult equivalent. We use households per adult equivalent as our unit of analysis throughout the main paper, and in order to express our footprint estimates per adult equivalent, we needed the total number of private households in each country and year, and for this, two additional data tables were needed. We used:</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(Number of private households), selecting all available years and total households [accessed on 04.05.2020].</w:t>
      </w:r>
      <w:r>
        <w:t xml:space="preserve"> </w:t>
      </w:r>
      <w:r>
        <w:t xml:space="preserve">(27)</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30">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(28)</w:t>
      </w:r>
    </w:p>
    <w:p>
      <w:pPr>
        <w:pStyle w:val="Heading3"/>
      </w:pPr>
      <w:bookmarkStart w:id="31" w:name="method-for-main-paper-results"/>
      <w:r>
        <w:t xml:space="preserve">Method for main paper results</w:t>
      </w:r>
      <w:bookmarkEnd w:id="31"/>
    </w:p>
    <w:p>
      <w:pPr>
        <w:pStyle w:val="FirstParagraph"/>
      </w:pPr>
      <w:r>
        <w:t xml:space="preserve">For our results in the main paper, we first stratify the EXIOBASE national household final demand expenditure (before calculating the footprint) by income quintile, using the relative expenditure shares of each income quintile on the COICOP consumption categories in the EUROSTAT HBS. We do this for 2005, 2010 and 2015, but only present 2015 in the main paper.</w:t>
      </w:r>
    </w:p>
    <w:p>
      <w:pPr>
        <w:pStyle w:val="BodyText"/>
      </w:pPr>
      <w:r>
        <w:t xml:space="preserve">The initial step was mapping each production sector in EXIOBASE to one COICOP consumption category in the HBS. Because the share of each consumption category/production sector in the total amount of expenditure is not identical between the HBS and EXIOBASE, there are two possible methods for then stratifying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w:t>
      </w:r>
    </w:p>
    <w:p>
      <w:pPr>
        <w:pStyle w:val="BodyText"/>
      </w:pPr>
      <w:r>
        <w:t xml:space="preserve">Our results in the main paper use the first method, keeping the EXIOBASE production sector shares of total EXIOBASE expenditure intact. This means that the total footprint is identical to when it is calculated in EXIOBASE without any stratification by income quintile.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direct and indirect supply chain</w:t>
      </w:r>
      <w:r>
        <w:t xml:space="preserve">’</w:t>
      </w:r>
      <w:r>
        <w:t xml:space="preserve"> </w:t>
      </w:r>
      <w:r>
        <w:t xml:space="preserve">intensity for that production sector. We present the alternative method and some results in the last sections of this document.</w:t>
      </w:r>
    </w:p>
    <w:p>
      <w:pPr>
        <w:pStyle w:val="BodyText"/>
      </w:pPr>
      <w:r>
        <w:t xml:space="preserve">In this current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EXIOBASE production sectors that have already been mapped to one HBS consumption category.</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standards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 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BodyText"/>
      </w:pPr>
      <w:r>
        <w:rPr>
          <w:b/>
        </w:rPr>
        <w:t xml:space="preserve">Table S1: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stratify it by income quintile (Table S2).</w:t>
      </w:r>
    </w:p>
    <w:p>
      <w:pPr>
        <w:pStyle w:val="BodyText"/>
      </w:pPr>
      <w:r>
        <w:rPr>
          <w:b/>
        </w:rPr>
        <w:t xml:space="preserve">Table S2: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stratified by income quintile, it is multiplied by the EE-MRIO</w:t>
      </w:r>
      <w:r>
        <w:t xml:space="preserve"> </w:t>
      </w:r>
      <w:r>
        <w:t xml:space="preserve">‘</w:t>
      </w:r>
      <w:r>
        <w:t xml:space="preserve">direct and indirect supply chain</w:t>
      </w:r>
      <w:r>
        <w:t xml:space="preserve">’</w:t>
      </w:r>
      <w:r>
        <w:t xml:space="preserve"> </w:t>
      </w:r>
      <w:r>
        <w:t xml:space="preserve">intensities per sector to calculate the EE-MRIO household footprint per sector stratified by income quintile (Table S3). The total footprint per sector (</w:t>
      </w:r>
      <w:r>
        <w:t xml:space="preserve">‘</w:t>
      </w:r>
      <w:r>
        <w:t xml:space="preserve">total fp</w:t>
      </w:r>
      <w:r>
        <w:t xml:space="preserve">’</w:t>
      </w:r>
      <w:r>
        <w:t xml:space="preserve">) is the same as if we had simply multiplied the non-stratified EE-MRIO household final demand expenditure per sector (</w:t>
      </w:r>
      <w:r>
        <w:t xml:space="preserve">‘</w:t>
      </w:r>
      <w:r>
        <w:t xml:space="preserve">eemrio hh fd</w:t>
      </w:r>
      <w:r>
        <w:t xml:space="preserve">’</w:t>
      </w:r>
      <w:r>
        <w:t xml:space="preserve">)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w:t>
      </w:r>
    </w:p>
    <w:p>
      <w:pPr>
        <w:pStyle w:val="BodyText"/>
      </w:pPr>
      <w:r>
        <w:rPr>
          <w:b/>
        </w:rPr>
        <w:t xml:space="preserve">Table S3: Calculation of EE-MRIO household footprint stratified by income quintile, through multiplication of EE-MRIO household final demand expenditure per income quintile and sector by the</w:t>
      </w:r>
      <w:r>
        <w:rPr>
          <w:b/>
        </w:rPr>
        <w:t xml:space="preserve"> </w:t>
      </w:r>
      <w:r>
        <w:rPr>
          <w:b/>
        </w:rPr>
        <w:t xml:space="preserve">‘</w:t>
      </w:r>
      <w:r>
        <w:rPr>
          <w:b/>
        </w:rPr>
        <w:t xml:space="preserve">direct and indirect supply chain</w:t>
      </w:r>
      <w:r>
        <w:rPr>
          <w:b/>
        </w:rPr>
        <w:t xml:space="preserve">’</w:t>
      </w:r>
      <w:r>
        <w:rPr>
          <w:b/>
        </w:rPr>
        <w:t xml:space="preserve"> </w:t>
      </w:r>
      <w:r>
        <w:rPr>
          <w:b/>
        </w:rPr>
        <w:t xml:space="preserve">intensity vector (TIV) calculated in the EE-MRIO (with only one</w:t>
      </w:r>
      <w:r>
        <w:rPr>
          <w:b/>
        </w:rPr>
        <w:t xml:space="preserve"> </w:t>
      </w:r>
      <w:r>
        <w:rPr>
          <w:b/>
        </w:rPr>
        <w:t xml:space="preserve">‘</w:t>
      </w:r>
      <w:r>
        <w:rPr>
          <w:b/>
        </w:rPr>
        <w:t xml:space="preserve">direct and indirect supply chain</w:t>
      </w:r>
      <w:r>
        <w:rPr>
          <w:b/>
        </w:rPr>
        <w:t xml:space="preserve">’</w:t>
      </w:r>
      <w:r>
        <w:rPr>
          <w:b/>
        </w:rPr>
        <w:t xml:space="preserve"> </w:t>
      </w:r>
      <w:r>
        <w:rPr>
          <w:b/>
        </w:rPr>
        <w:t xml:space="preserve">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3"/>
      </w:pPr>
      <w:bookmarkStart w:id="32" w:name="X5a317650670242e320f8b269c838ae48be4f85a"/>
      <w:r>
        <w:t xml:space="preserve">Mapping between EXIOBASE and EUROSTAT HBS</w:t>
      </w:r>
      <w:bookmarkEnd w:id="32"/>
    </w:p>
    <w:p>
      <w:pPr>
        <w:pStyle w:val="FirstParagraph"/>
      </w:pPr>
      <w:r>
        <w:t xml:space="preserve">Table S4 shows which EUROSTAT HBS consumption category we mapped each EXIOBASE production sector to, along with our grouping of the EXIOBASE production sectors into the five aggregated final consumption categories we present in the main paper. The direct energy and carbon from households were mapped to: heating/cooling (HH_HEAT) was mapped to CP045, mobility (HH_TRA) was mapped to CP072, and other (HH_OTHER) to CP05, respectively.</w:t>
      </w:r>
    </w:p>
    <w:p>
      <w:pPr>
        <w:pStyle w:val="BodyText"/>
      </w:pPr>
      <w:r>
        <w:rPr>
          <w:b/>
        </w:rPr>
        <w:t xml:space="preserve">Table S4: Mapping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3"/>
      </w:pPr>
      <w:bookmarkStart w:id="33" w:name="country-and-year-coverage"/>
      <w:r>
        <w:t xml:space="preserve">Country and year coverage</w:t>
      </w:r>
      <w:bookmarkEnd w:id="33"/>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caution is advised when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the necessary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BodyText"/>
      </w:pPr>
      <w:r>
        <w:rPr>
          <w:b/>
        </w:rPr>
        <w:t xml:space="preserve">Table S5: Country and year coverage between EXIOBASE and the EUROSTAT HBS. Rows with black text show countries that are represented in EXIOBASE, and an</w:t>
      </w:r>
      <w:r>
        <w:rPr>
          <w:b/>
        </w:rPr>
        <w:t xml:space="preserve"> </w:t>
      </w:r>
      <w:r>
        <w:rPr>
          <w:b/>
        </w:rPr>
        <w:t xml:space="preserve">‘</w:t>
      </w:r>
      <w:r>
        <w:rPr>
          <w:b/>
        </w:rPr>
        <w:t xml:space="preserve">x</w:t>
      </w:r>
      <w:r>
        <w:rPr>
          <w:b/>
        </w:rPr>
        <w:t xml:space="preserve">’</w:t>
      </w:r>
      <w:r>
        <w:rPr>
          <w:b/>
        </w:rPr>
        <w:t xml:space="preserve"> </w:t>
      </w:r>
      <w:r>
        <w:rPr>
          <w:b/>
        </w:rPr>
        <w:t xml:space="preserve">for those years where EUROSTAT HBS data also exists for that country. Rows with red text show countries where EUROSTAT HBS data exists, but who are not represented individually in EXIOBASE (they are in</w:t>
      </w:r>
      <w:r>
        <w:rPr>
          <w:b/>
        </w:rPr>
        <w:t xml:space="preserve"> </w:t>
      </w:r>
      <w:r>
        <w:rPr>
          <w:b/>
        </w:rPr>
        <w:t xml:space="preserve">‘</w:t>
      </w:r>
      <w:r>
        <w:rPr>
          <w:b/>
        </w:rPr>
        <w:t xml:space="preserve">rest-of-world</w:t>
      </w:r>
      <w:r>
        <w:rPr>
          <w:b/>
        </w:rPr>
        <w:t xml:space="preserve">’</w:t>
      </w:r>
      <w:r>
        <w:rPr>
          <w:b/>
        </w:rPr>
        <w:t xml:space="preserve"> </w:t>
      </w:r>
      <w:r>
        <w:rPr>
          <w:b/>
        </w:rP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4"/>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sector shares the same (and just stratify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BodyText"/>
      </w:pPr>
      <w:r>
        <w:rPr>
          <w:b/>
        </w:rPr>
        <w:t xml:space="preserve">Table S6: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700"/>
        <w:gridCol w:w="778"/>
        <w:gridCol w:w="778"/>
        <w:gridCol w:w="1061"/>
        <w:gridCol w:w="599"/>
        <w:gridCol w:w="1315"/>
        <w:gridCol w:w="1061"/>
        <w:gridCol w:w="599"/>
        <w:gridCol w:w="1315"/>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BodyText"/>
      </w:pPr>
      <w:r>
        <w:rPr>
          <w:b/>
        </w:rPr>
        <w:t xml:space="preserve">Table S7: Quintile shares per sector in base price, with new</w:t>
      </w:r>
      <w:r>
        <w:rPr>
          <w:b/>
        </w:rPr>
        <w:t xml:space="preserve"> </w:t>
      </w:r>
      <w:r>
        <w:rPr>
          <w:b/>
        </w:rPr>
        <w:t xml:space="preserve">‘</w:t>
      </w:r>
      <w:r>
        <w:rPr>
          <w:b/>
        </w:rPr>
        <w:t xml:space="preserve">pps hh</w:t>
      </w:r>
      <w:r>
        <w:rPr>
          <w:b/>
        </w:rPr>
        <w:t xml:space="preserve">’</w:t>
      </w:r>
      <w:r>
        <w:rPr>
          <w:b/>
        </w:rPr>
        <w:t xml:space="preserve"> </w:t>
      </w:r>
      <w:r>
        <w:rPr>
          <w:b/>
        </w:rP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stratify it by income quintile, we end up with the same stratification which will result in the same stratified footprint as before.</w:t>
      </w:r>
    </w:p>
    <w:p>
      <w:pPr>
        <w:pStyle w:val="BodyText"/>
      </w:pPr>
      <w:r>
        <w:rPr>
          <w:b/>
        </w:rPr>
        <w:t xml:space="preserve">Table S8: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5" w:name="european-household-expenditure-deciles"/>
      <w:r>
        <w:t xml:space="preserve">European household expenditure deciles</w:t>
      </w:r>
      <w:bookmarkEnd w:id="35"/>
    </w:p>
    <w:p>
      <w:pPr>
        <w:pStyle w:val="FirstParagraph"/>
      </w:pPr>
      <w:r>
        <w:t xml:space="preserve">Each national income quintile has a household final demand expenditure, household energy footprint and household carbon footprint estimate allocated to it after these initial steps. Then, to calculate European household expenditure deciles, we first ranked all these national income quintiles (140 in total: 28 European countries x 5 national income quintiles each) according to their mean household expenditure in PPS and aggregated the result to 10 European expenditure groups. This distribution allowed us to analyze the total European household energy and carbon footprints per these European expenditure deciles. We included only those countries with EUROSTAT HBS and EXIOBASE data in 2015, 2010, and 2005, which excludes Italy (no 2010 or 2015 necessary EUROSTAT HBS data, i.e. no data per income quintile) and Luxembourg (no 2010 EUROSTAT HBS data), but includes the UK, Norway and Turkey.</w:t>
      </w:r>
    </w:p>
    <w:p>
      <w:pPr>
        <w:pStyle w:val="BodyText"/>
      </w:pPr>
      <w:r>
        <w:t xml:space="preserve">Each national income quintile is thus allocated to one of the 10 European expenditure deciles (some national income quintiles at the boundaries between deciles are split between two deciles). Figure S1 shows the population share of each country in our bottom 4 European expenditure deciles. A 100% share thus means that all 5 national income quintiles of that country fall within the bottom 4 European expenditure deciles. This does not imply that there are no high-income households in those countries, but because this method uses average expenditure data from the national income quintiles, the aggregation cuts off the lower and higher tails of the respective national expenditure distributions.</w:t>
      </w:r>
    </w:p>
    <w:p>
      <w:pPr>
        <w:pStyle w:val="CaptionedFigure"/>
      </w:pPr>
      <w:r>
        <w:drawing>
          <wp:inline>
            <wp:extent cx="5943600" cy="2971800"/>
            <wp:effectExtent b="0" l="0" r="0" t="0"/>
            <wp:docPr descr="Figure S1: Percentage of population in bottom 4 European expenditure deciles." title="" id="1" name="Picture"/>
            <a:graphic>
              <a:graphicData uri="http://schemas.openxmlformats.org/drawingml/2006/picture">
                <pic:pic>
                  <pic:nvPicPr>
                    <pic:cNvPr descr="../figures/unnamed-chunk-3-1.png" id="0" name="Picture"/>
                    <pic:cNvPicPr>
                      <a:picLocks noChangeArrowheads="1" noChangeAspect="1"/>
                    </pic:cNvPicPr>
                  </pic:nvPicPr>
                  <pic:blipFill>
                    <a:blip r:embed="rId36"/>
                    <a:stretch>
                      <a:fillRect/>
                    </a:stretch>
                  </pic:blipFill>
                  <pic:spPr bwMode="auto">
                    <a:xfrm>
                      <a:off x="0" y="0"/>
                      <a:ext cx="5943600" cy="2971800"/>
                    </a:xfrm>
                    <a:prstGeom prst="rect">
                      <a:avLst/>
                    </a:prstGeom>
                    <a:noFill/>
                    <a:ln w="9525">
                      <a:noFill/>
                      <a:headEnd/>
                      <a:tailEnd/>
                    </a:ln>
                  </pic:spPr>
                </pic:pic>
              </a:graphicData>
            </a:graphic>
          </wp:inline>
        </w:drawing>
      </w:r>
    </w:p>
    <w:p>
      <w:pPr>
        <w:pStyle w:val="ImageCaption"/>
      </w:pPr>
      <w:r>
        <w:rPr>
          <w:b/>
        </w:rPr>
        <w:t xml:space="preserve">Figure S1: Percentage of population in bottom 4 European expenditure deciles.</w:t>
      </w:r>
    </w:p>
    <w:p>
      <w:pPr>
        <w:pStyle w:val="Heading2"/>
      </w:pPr>
      <w:bookmarkStart w:id="37" w:name="limitations"/>
      <w:r>
        <w:t xml:space="preserve">Limitations</w:t>
      </w:r>
      <w:bookmarkEnd w:id="37"/>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(29)</w:t>
      </w:r>
      <w:r>
        <w:t xml:space="preserve">. Some types of households may also be excluded from the samples, including super-rich households, for example in Germany, which excludes households with over €18,000 monthly net income</w:t>
      </w:r>
      <w:r>
        <w:t xml:space="preserve"> </w:t>
      </w:r>
      <w:r>
        <w:t xml:space="preserve">(29)</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(29)</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 industry-by-industry), but there are well known limitations when using and selecting an EE-MRIO</w:t>
      </w:r>
      <w:r>
        <w:t xml:space="preserve"> </w:t>
      </w:r>
      <w:r>
        <w:t xml:space="preserve">(30)</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stratifying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stratification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direct and indirect supply chain</w:t>
      </w:r>
      <w:r>
        <w:t xml:space="preserve">’</w:t>
      </w:r>
      <w:r>
        <w:t xml:space="preserve"> </w:t>
      </w:r>
      <w:r>
        <w:t xml:space="preserve">intensities, but stays faithful to the original HBS consumption category shares of total HBS expenditure. We show the alternative method below, and some results in the last sections of this SI document. We also stay at a relatively aggregated level for our energy and carbon footprints, as our primary goal was to connect aspects of the aggregate European household environmental footprint distribution with the decarbonisation and minimum energy requirement scenarios. Work specifically investigating distributional aspects of the European carbon footprint, sometimes at a finer sectoral level than we do here, can be found in the refs.</w:t>
      </w:r>
      <w:r>
        <w:t xml:space="preserve"> </w:t>
      </w:r>
      <w:r>
        <w:t xml:space="preserve">(31)</w:t>
      </w:r>
      <w:r>
        <w:t xml:space="preserve">,</w:t>
      </w:r>
      <w:r>
        <w:t xml:space="preserve"> </w:t>
      </w:r>
      <w:r>
        <w:t xml:space="preserve">(32)</w:t>
      </w:r>
      <w:r>
        <w:t xml:space="preserve">,</w:t>
      </w:r>
      <w:r>
        <w:t xml:space="preserve"> </w:t>
      </w:r>
      <w:r>
        <w:t xml:space="preserve">(33)</w:t>
      </w:r>
      <w:r>
        <w:t xml:space="preserve"> </w:t>
      </w:r>
      <w:r>
        <w:t xml:space="preserve">and</w:t>
      </w:r>
      <w:r>
        <w:t xml:space="preserve"> </w:t>
      </w:r>
      <w:r>
        <w:t xml:space="preserve">(34)</w:t>
      </w:r>
      <w:r>
        <w:t xml:space="preserve">.</w:t>
      </w:r>
    </w:p>
    <w:p>
      <w:pPr>
        <w:pStyle w:val="BodyText"/>
      </w:pPr>
      <w:r>
        <w:t xml:space="preserve">Finally, the main limitation of the European expenditure deciles is the fact that they use average expenditure data from the national income quintiles. This aggregation cuts off the lower and higher tails of the respective national expenditure distributions. Our constructed European expenditure deciles thus likely</w:t>
      </w:r>
      <w:r>
        <w:t xml:space="preserve"> </w:t>
      </w:r>
      <w:r>
        <w:rPr>
          <w:i/>
        </w:rPr>
        <w:t xml:space="preserve">under</w:t>
      </w:r>
      <w:r>
        <w:t xml:space="preserve">estimate European expenditure inequality. Also, when calculating energy and carbon intensities per harmonized European expenditure decile, and comparing them across deciles, one aspect not harmonized is the possible effect of different national energy subsidy levels. Varying energy subsidy levels between countries could play a role in the different energy and carbon intensities we observe per European expenditure deciles</w:t>
      </w:r>
      <w:r>
        <w:t xml:space="preserve"> </w:t>
      </w:r>
      <w:r>
        <w:t xml:space="preserve">(35)</w:t>
      </w:r>
      <w:r>
        <w:t xml:space="preserve">.</w:t>
      </w:r>
    </w:p>
    <w:p>
      <w:pPr>
        <w:pStyle w:val="Heading3"/>
      </w:pPr>
      <w:bookmarkStart w:id="38" w:name="Xc9cc011df3901412df578718cd85618f03e30b3"/>
      <w:r>
        <w:t xml:space="preserve">Alternative method for income-stratified national household energy and carbon footprints</w:t>
      </w:r>
      <w:bookmarkEnd w:id="38"/>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stratified by income quantile. The alternative method is to keep the consumption category shares of total HBS expenditure the same as they are found in the HBS. This means taking the total sum of household final demand expenditure from the EE-MRIO and stratifying it first based on the share of each income quantile’s consumption expenditure of the total consumption expenditure as found in the HBS, before stratifying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stratified by income quantile), because a different amount of final demand expenditure in each sector is now multiplied by the same</w:t>
      </w:r>
      <w:r>
        <w:t xml:space="preserve"> </w:t>
      </w:r>
      <w:r>
        <w:t xml:space="preserve">‘</w:t>
      </w:r>
      <w:r>
        <w:t xml:space="preserve">direct and indirect supply chain</w:t>
      </w:r>
      <w:r>
        <w:t xml:space="preserve">’</w:t>
      </w:r>
      <w:r>
        <w:t xml:space="preserve"> </w:t>
      </w:r>
      <w:r>
        <w:t xml:space="preserve">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stratify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9">
        <w:r>
          <w:rPr>
            <w:rStyle w:val="Hyperlink"/>
          </w:rPr>
          <w:t xml:space="preserve">https://stats.oecd.org/index.aspx?queryid=84864#</w:t>
        </w:r>
      </w:hyperlink>
      <w:r>
        <w:t xml:space="preserve"> </w:t>
      </w:r>
      <w:r>
        <w:t xml:space="preserve">(36)</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BodyText"/>
      </w:pPr>
      <w:r>
        <w:rPr>
          <w:b/>
        </w:rPr>
        <w:t xml:space="preserve">Table S9: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rPr>
          <w:b/>
        </w:rPr>
        <w:t xml:space="preserve">Table S10: Income quintile shares per sector in base price, with new</w:t>
      </w:r>
      <w:r>
        <w:rPr>
          <w:b/>
        </w:rPr>
        <w:t xml:space="preserve"> </w:t>
      </w:r>
      <w:r>
        <w:rPr>
          <w:b/>
        </w:rPr>
        <w:t xml:space="preserve">‘</w:t>
      </w:r>
      <w:r>
        <w:rPr>
          <w:b/>
        </w:rPr>
        <w:t xml:space="preserve">pps hh</w:t>
      </w:r>
      <w:r>
        <w:rPr>
          <w:b/>
        </w:rPr>
        <w:t xml:space="preserve">’</w:t>
      </w:r>
      <w:r>
        <w:rPr>
          <w:b/>
        </w:rPr>
        <w:t xml:space="preserve"> </w:t>
      </w:r>
      <w:r>
        <w:rPr>
          <w:b/>
        </w:rPr>
        <w:t xml:space="preserve">per income quintile in base price and new sectoral pm values in base price (</w:t>
      </w:r>
      <w:r>
        <w:rPr>
          <w:b/>
        </w:rPr>
        <w:t xml:space="preserve">‘</w:t>
      </w:r>
      <w:r>
        <w:rPr>
          <w:b/>
        </w:rPr>
        <w:t xml:space="preserve">pps hh bp</w:t>
      </w:r>
      <w:r>
        <w:rPr>
          <w:b/>
        </w:rPr>
        <w:t xml:space="preserve">’</w:t>
      </w:r>
      <w:r>
        <w:rPr>
          <w:b/>
        </w:rPr>
        <w:t xml:space="preserve"> </w:t>
      </w:r>
      <w:r>
        <w:rPr>
          <w:b/>
        </w:rPr>
        <w:t xml:space="preserve">is the sum of</w:t>
      </w:r>
      <w:r>
        <w:rPr>
          <w:b/>
        </w:rPr>
        <w:t xml:space="preserve"> </w:t>
      </w:r>
      <w:r>
        <w:rPr>
          <w:b/>
        </w:rPr>
        <w:t xml:space="preserve">‘</w:t>
      </w:r>
      <w:r>
        <w:rPr>
          <w:b/>
        </w:rPr>
        <w:t xml:space="preserve">s1 (pps hh bp)</w:t>
      </w:r>
      <w:r>
        <w:rPr>
          <w:b/>
        </w:rPr>
        <w:t xml:space="preserve">’</w:t>
      </w:r>
      <w:r>
        <w:rPr>
          <w:b/>
        </w:rPr>
        <w:t xml:space="preserve"> </w:t>
      </w:r>
      <w:r>
        <w:rPr>
          <w:b/>
        </w:rPr>
        <w:t xml:space="preserve">and</w:t>
      </w:r>
      <w:r>
        <w:rPr>
          <w:b/>
        </w:rPr>
        <w:t xml:space="preserve"> </w:t>
      </w:r>
      <w:r>
        <w:rPr>
          <w:b/>
        </w:rPr>
        <w:t xml:space="preserve">‘</w:t>
      </w:r>
      <w:r>
        <w:rPr>
          <w:b/>
        </w:rPr>
        <w:t xml:space="preserve">s2 (pps hh bp)</w:t>
      </w:r>
      <w:r>
        <w:rPr>
          <w:b/>
        </w:rPr>
        <w:t xml:space="preserve">’</w:t>
      </w:r>
      <w:r>
        <w:rPr>
          <w:b/>
        </w:rP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BodyText"/>
      </w:pPr>
      <w:r>
        <w:rPr>
          <w:b/>
        </w:rPr>
        <w:t xml:space="preserve">Table S11: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stratified by income quintile.</w:t>
      </w:r>
    </w:p>
    <w:p>
      <w:pPr>
        <w:pStyle w:val="BodyText"/>
      </w:pPr>
      <w:r>
        <w:rPr>
          <w:b/>
        </w:rPr>
        <w:t xml:space="preserve">Table S12: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 we calculate the footprint stratified by income quintile, but our total footprint is different than in the other methodology because now different amounts of EE-MRIO household final demand expenditure per sector are being multiplied by the same</w:t>
      </w:r>
      <w:r>
        <w:t xml:space="preserve"> </w:t>
      </w:r>
      <w:r>
        <w:t xml:space="preserve">‘</w:t>
      </w:r>
      <w:r>
        <w:t xml:space="preserve">direct and indirect supply chain</w:t>
      </w:r>
      <w:r>
        <w:t xml:space="preserve">’</w:t>
      </w:r>
      <w:r>
        <w:t xml:space="preserve"> </w:t>
      </w:r>
      <w:r>
        <w:t xml:space="preserve">intensity vector as previously calculated inside the EE-MRIO (compare Table S13 with Table S3).</w:t>
      </w:r>
    </w:p>
    <w:p>
      <w:pPr>
        <w:pStyle w:val="BodyText"/>
      </w:pPr>
      <w:r>
        <w:rPr>
          <w:b/>
        </w:rPr>
        <w:t xml:space="preserve">Table S13: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878"/>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 fp</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40" w:name="supplementary-results"/>
      <w:r>
        <w:t xml:space="preserve">Supplementary Results</w:t>
      </w:r>
      <w:bookmarkEnd w:id="40"/>
    </w:p>
    <w:p>
      <w:pPr>
        <w:pStyle w:val="FirstParagraph"/>
      </w:pPr>
      <w:r>
        <w:t xml:space="preserve">We ran the same analysis for the years 2015, 2010 and 2005. We presented only 2015 in the main paper as we focused more on the distributional aspect of the environmental footprints and their relationship to decarbonisation scenarios and minimum energy, rather than the time component. As mentioned in the</w:t>
      </w:r>
      <w:r>
        <w:t xml:space="preserve"> </w:t>
      </w:r>
      <w:r>
        <w:t xml:space="preserve">‘</w:t>
      </w:r>
      <w:r>
        <w:t xml:space="preserve">limitations</w:t>
      </w:r>
      <w:r>
        <w:t xml:space="preserve">’</w:t>
      </w:r>
      <w:r>
        <w:t xml:space="preserve"> </w:t>
      </w:r>
      <w:r>
        <w:t xml:space="preserve">section above, caution is needed when comparing the EUROSTAT HBS data over time, as well as the version of EXIOBASE we used (version3, industry-by-industry). We also estimated the environmental footprints per European expenditure decile using the product-by-product version of EXIOBASE for the year 2010, and then the year 2015 again using the alternative methodology that was explained in the supplementary methods sections in this document above.</w:t>
      </w:r>
    </w:p>
    <w:p>
      <w:pPr>
        <w:pStyle w:val="BodyText"/>
      </w:pPr>
      <w:r>
        <w:t xml:space="preserve">We show each of these in turn in the format of Figure 1 from the main paper: 1) the year 2005 using the main paper method and EXIOBASE industry-by-industry version, then 2) the year 2010 using the main paper method and EXIOBASE industry-by-industry version, 3) the year 2010 using the main paper method but EXIOBASE product-by-product version, and finally 4) the year 2015 using the alternative methodology and EXIOBASE industry-by-industry version.</w:t>
      </w:r>
    </w:p>
    <w:p>
      <w:pPr>
        <w:pStyle w:val="Heading2"/>
      </w:pPr>
      <w:bookmarkStart w:id="41" w:name="X8d75558b19c1f4ada8a7ee00925afcbe8652b35"/>
      <w:r>
        <w:t xml:space="preserve">2005 using main method, EXIOBASE industry-by-industry</w:t>
      </w:r>
      <w:bookmarkEnd w:id="41"/>
    </w:p>
    <w:p>
      <w:pPr>
        <w:pStyle w:val="FirstParagraph"/>
      </w:pPr>
      <w:r>
        <w:t xml:space="preserve">In 2005, total household final demand expenditure was 5.0359611 trn€, the energy footprint 102.7166541 EJ, and the carbon footprint 4365.7483981 MtCO2eq. We estimated the 10:10 ratios at 12.3 for expenditure, 5.2 for the energy footprint, and 3.6 for the carbon footprint. Total expenditure ranged from 0.1 trn€ to 1.2 trn€ (or 2830€ to 34914€ per adult equivalent) across bottom and top decile, the energy footprint from 3.7 EJ to 19.1 EJ (or 111.3 GJ/ae to 577.2 GJ/ae), and the carbon footprint from 211.1 MtCO2eq to 756.9 MtCO2eq (or 6.4 tCO2eq/ae to 22.9 tCO2eq/ae). The average energy intensity of consumption was 39.3 MJ/€ in the bottom decile and 16.5 MJ/€ in the top decile. The carbon intensity of energy was 57.2 gCO2eq/TJ in the bottom decile, and 39.6 gCO2eq/TJ in the top decile.</w:t>
      </w:r>
    </w:p>
    <w:p>
      <w:pPr>
        <w:pStyle w:val="CaptionedFigure"/>
      </w:pPr>
      <w:r>
        <w:drawing>
          <wp:inline>
            <wp:extent cx="5943600" cy="3962400"/>
            <wp:effectExtent b="0" l="0" r="0" t="0"/>
            <wp:docPr descr="Figure S2: Household expenditure and environmental footprints and intensities across European expenditure deciles in 2005.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S2: Household expenditure and environmental footprints and intensities across European expenditure deciles in 2005.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3" w:name="X6d0fbaa5f45806da251547b50375281c1325abb"/>
      <w:r>
        <w:t xml:space="preserve">2010 using main method, EXIOBASE industry-by-industry</w:t>
      </w:r>
      <w:bookmarkEnd w:id="43"/>
    </w:p>
    <w:p>
      <w:pPr>
        <w:pStyle w:val="FirstParagraph"/>
      </w:pPr>
      <w:r>
        <w:t xml:space="preserve">In 2010, total household final demand expenditure was 5.6465553 trn€, the energy footprint 97.5739468 EJ, and the carbon footprint 4090.5716883 MtCO2eq. We estimated the 10:10 ratios at 7.5 for expenditure, 3.6 for the energy footprint, and 2.8 for the carbon footprint. Total expenditure ranged from 0.2 trn€ to 1.1 trn€ (or 4693€ to 35258€ per adult equivalent) across bottom and top decile, the energy footprint from 4.6 EJ to 16.4 EJ (or 140.5 GJ/ae to 503.8 GJ/ae), and the carbon footprint from 247.8 MtCO2eq to 689.6 MtCO2eq (or 7.6 tCO2eq/ae to 21.2 tCO2eq/ae). The average energy intensity of consumption was 29.9 MJ/€ in the bottom decile and 14.3 MJ/€ in the top decile. The carbon intensity of energy was 54.3 gCO2eq/TJ in the bottom decile, and 42.1 gCO2eq/TJ in the top decile.</w:t>
      </w:r>
    </w:p>
    <w:p>
      <w:pPr>
        <w:pStyle w:val="CaptionedFigure"/>
      </w:pPr>
      <w:r>
        <w:drawing>
          <wp:inline>
            <wp:extent cx="5943600" cy="3962400"/>
            <wp:effectExtent b="0" l="0" r="0" t="0"/>
            <wp:docPr descr="Figure S3: Household expenditure and environmental footprints and intensities across European expenditure deciles in 2010.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S3: Household expenditure and environmental footprints and intensities across European expenditure deciles in 2010.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5" w:name="Xa524caf697d4adaad7fcac9faec7b6d79794f21"/>
      <w:r>
        <w:t xml:space="preserve">2010 using main method, EXIOBASE product-by-product</w:t>
      </w:r>
      <w:bookmarkEnd w:id="45"/>
    </w:p>
    <w:p>
      <w:pPr>
        <w:pStyle w:val="FirstParagraph"/>
      </w:pPr>
      <w:r>
        <w:t xml:space="preserve">In 2010 but using the product-by-product version of EXIOBASE, total household final demand expenditure was 5.5781797 trn€, the energy footprint 94.6093679 EJ, and the carbon footprint 3957.4699948 MtCO2eq. We estimated the 10:10 ratios at 7.5 for expenditure, 4.1 for the energy footprint, and 3.3 for the carbon footprint. Total expenditure ranged from 0.2 trn€ to 1.1 trn€ (or 4634€ to 34786€ per adult equivalent) across bottom and top decile, the energy footprint from 3.9 EJ to 16 EJ (or 120.2 GJ/ae to 493 GJ/ae), and the carbon footprint from 202.9 MtCO2eq to 670.4 MtCO2eq (or 6.2 tCO2eq/ae to 20.6 tCO2eq/ae). The average energy intensity of consumption was 25.9 MJ/€ in the bottom decile and 14.2 MJ/€ in the top decile. The carbon intensity of energy was 51.9 gCO2eq/TJ in the bottom decile, and 41.8 gCO2eq/TJ in the top decile.</w:t>
      </w:r>
    </w:p>
    <w:p>
      <w:pPr>
        <w:pStyle w:val="CaptionedFigure"/>
      </w:pPr>
      <w:r>
        <w:drawing>
          <wp:inline>
            <wp:extent cx="5943600" cy="3962400"/>
            <wp:effectExtent b="0" l="0" r="0" t="0"/>
            <wp:docPr descr="Figure S4: Household expenditure and environmental footprints and intensities across European expenditure deciles in 2010 (product-by-product EXIOBASE version).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S4: Household expenditure and environmental footprints and intensities across European expenditure deciles in 2010 (product-by-product EXIOBASE version).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7" w:name="Xb0ae8b1959b15b13866be8149136e915543cac5"/>
      <w:r>
        <w:t xml:space="preserve">2015 using alternative method, EXIOBASE industry-by-industry</w:t>
      </w:r>
      <w:bookmarkEnd w:id="47"/>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S5: Household expenditure and environmental footprints and intensities across European expenditure deciles in 2015 (EXIOBASE industry-by-industry version, but using alternative method).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5-test-1.png" id="0" name="Picture"/>
                    <pic:cNvPicPr>
                      <a:picLocks noChangeArrowheads="1" noChangeAspect="1"/>
                    </pic:cNvPicPr>
                  </pic:nvPicPr>
                  <pic:blipFill>
                    <a:blip r:embed="rId48"/>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S5: Household expenditure and environmental footprints and intensities across European expenditure deciles in 2015 (EXIOBASE industry-by-industry version, but using alternative method).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1"/>
      </w:pPr>
      <w:bookmarkStart w:id="49" w:name="units-of-analysis"/>
      <w:r>
        <w:t xml:space="preserve">Units of analysis</w:t>
      </w:r>
      <w:bookmarkEnd w:id="49"/>
    </w:p>
    <w:p>
      <w:pPr>
        <w:pStyle w:val="FirstParagraph"/>
      </w:pPr>
      <w:r>
        <w:t xml:space="preserve">Through the main paper we use household per adult equivalent as our unit of analysis, following the EUROSTAT HBS. This meant that we adjusted decarbonisation scenario final energy numbers from total per capita to household per adult equivalent to better compare them with our environmental footprint estimates. We adjusted them for 1) the household share of the total footprint, and 2) the adult equivalent share of the total population.</w:t>
      </w:r>
    </w:p>
    <w:p>
      <w:pPr>
        <w:pStyle w:val="BodyText"/>
      </w:pPr>
      <w:r>
        <w:t xml:space="preserve">As a numerical example, we adjust a total final energy of 53 GJ per capita from the Low Energy Demand (LED) scenario (Grubler et al. (2018)</w:t>
      </w:r>
      <w:r>
        <w:t xml:space="preserve"> </w:t>
      </w:r>
      <w:r>
        <w:t xml:space="preserve">(37)</w:t>
      </w:r>
      <w:r>
        <w:t xml:space="preserve">), first by the household share of the total European energy footprint in 2015 (around 0.63, calculated in EXIOBASE), and then the share of total adult equivalents in the total European population in 2015 (also around 0.6280582, calculated using the EUROSTAT HBS, number of households per country, and population data per country). A total final energy of 53 GJ/capita is therefore adjusted to a household final energy of 53 GJ/adult equivalent in Europe ((53 total GJ/capita * 0.63 household share of total footprint)/0.63 adult equivalent share of total population = 53 household GJ/adult equivalent).</w:t>
      </w:r>
    </w:p>
    <w:p>
      <w:pPr>
        <w:pStyle w:val="BodyText"/>
      </w:pPr>
      <w:r>
        <w:t xml:space="preserve">The decarbonisation scenario final energy numbers in 2050, presented in Table 1 of the main paper, were originally in total GJ per capita: 94 GJ/capita (SSP2-1.9), 87 GJ/capita (SSP1-1.9), 84 GJ/capita (IEA ETP B2DS), 64 GJ/capita (GEA-efficiency), 53 GJ/capita (LED), and 15.3 GJ/capita (DLE). Because of the similar relative shares of the household part of the total European energy footprint (around 0.63), and the adult equivalent share of the total population in our sample (also around 0.63), these final energy numbers end up close to the same when adjusted to household per adult equivalent. The original numbers for the SSP and GEA-efficiency scenarios are from the International Institute for Applied Systems Analysis (IIASA) scenario database</w:t>
      </w:r>
      <w:r>
        <w:t xml:space="preserve"> </w:t>
      </w:r>
      <w:r>
        <w:t xml:space="preserve">(38)</w:t>
      </w:r>
      <w:r>
        <w:t xml:space="preserve">. The SSP total GJ/capita numbers are for the OECD region, while the GEA-efficiency total GJ/capita number is for their</w:t>
      </w:r>
      <w:r>
        <w:t xml:space="preserve"> </w:t>
      </w:r>
      <w:r>
        <w:t xml:space="preserve">‘</w:t>
      </w:r>
      <w:r>
        <w:t xml:space="preserve">West EU</w:t>
      </w:r>
      <w:r>
        <w:t xml:space="preserve">’</w:t>
      </w:r>
      <w:r>
        <w:t xml:space="preserve"> </w:t>
      </w:r>
      <w:r>
        <w:t xml:space="preserve">region. The SSP numbers are from the MESSAGE-GLOBIOM model, and the GEA-efficiency number is from the MESSAGE model. The LED total GJ/capita number is from Grubler et al. (2018)</w:t>
      </w:r>
      <w:r>
        <w:t xml:space="preserve"> </w:t>
      </w:r>
      <w:r>
        <w:t xml:space="preserve">(37)</w:t>
      </w:r>
      <w:r>
        <w:t xml:space="preserve">, and the IEA ETP B2DS total GJ/capita number is from the Supplementary Table 27 in the supplementary information document of Grubler et al. (2018)</w:t>
      </w:r>
      <w:r>
        <w:t xml:space="preserve"> </w:t>
      </w:r>
      <w:r>
        <w:t xml:space="preserve">(37)</w:t>
      </w:r>
      <w:r>
        <w:t xml:space="preserve">. The LED and IEA ETP B2DS total GJ/capita numbers are both for the Global North region. We also refer in the main paper to the LED numbers for the Global South (20 total GJ/capita) and the world (27 total GJ/capita). Finally, the DLE number is one number for the world, and while they give a range of 13-18.4 total GJ/capita, we take their average of 15.3 total GJ/capita</w:t>
      </w:r>
      <w:r>
        <w:t xml:space="preserve"> </w:t>
      </w:r>
      <w:r>
        <w:t xml:space="preserve">(40)</w:t>
      </w:r>
      <w:r>
        <w:t xml:space="preserve">.</w:t>
      </w:r>
    </w:p>
    <w:p>
      <w:pPr>
        <w:pStyle w:val="BodyText"/>
      </w:pPr>
      <w:r>
        <w:t xml:space="preserve">Our European expenditure deciles were constructed having the exact same number of adult equivalents per decile. When comparing with external per capita numbers, however, there is not the same number of population per decile because of differences in non-adult-equivalent-normalized people per household between income quintiles per country, and between countries.</w:t>
      </w:r>
    </w:p>
    <w:p>
      <w:pPr>
        <w:pStyle w:val="BodyText"/>
      </w:pPr>
      <w:r>
        <w:t xml:space="preserve">Because we have the number of adult equivalents per country, and the total population per country, we could use both to calculate the total population per adult equivalent ratio for each country. We applied these ratios to the adult equivalents from different countries making up each European expenditure decile, so we could estimate total population per European expenditure decile taking into account differences in household per capita between countries, but not between income quintiles within each country. Figure S6 shows these population estimates per European expenditure decile. We use this to re-estimate our energy footprint per European expenditure decile in per capita terms, and then re-create Figure 5 from the main paper (Figure S7 below) in per capita terms.</w:t>
      </w:r>
    </w:p>
    <w:p>
      <w:pPr>
        <w:pStyle w:val="CaptionedFigure"/>
      </w:pPr>
      <w:r>
        <w:drawing>
          <wp:inline>
            <wp:extent cx="4587290" cy="3669832"/>
            <wp:effectExtent b="0" l="0" r="0" t="0"/>
            <wp:docPr descr="Figure S6: Number of adult equivalents per European expenditure decile and estimated number of people per European expenditure decile." title="" id="1" name="Picture"/>
            <a:graphic>
              <a:graphicData uri="http://schemas.openxmlformats.org/drawingml/2006/picture">
                <pic:pic>
                  <pic:nvPicPr>
                    <pic:cNvPr descr="../figures/figureSx-1.png" id="0" name="Picture"/>
                    <pic:cNvPicPr>
                      <a:picLocks noChangeArrowheads="1" noChangeAspect="1"/>
                    </pic:cNvPicPr>
                  </pic:nvPicPr>
                  <pic:blipFill>
                    <a:blip r:embed="rId50"/>
                    <a:stretch>
                      <a:fillRect/>
                    </a:stretch>
                  </pic:blipFill>
                  <pic:spPr bwMode="auto">
                    <a:xfrm>
                      <a:off x="0" y="0"/>
                      <a:ext cx="4587290" cy="3669832"/>
                    </a:xfrm>
                    <a:prstGeom prst="rect">
                      <a:avLst/>
                    </a:prstGeom>
                    <a:noFill/>
                    <a:ln w="9525">
                      <a:noFill/>
                      <a:headEnd/>
                      <a:tailEnd/>
                    </a:ln>
                  </pic:spPr>
                </pic:pic>
              </a:graphicData>
            </a:graphic>
          </wp:inline>
        </w:drawing>
      </w:r>
    </w:p>
    <w:p>
      <w:pPr>
        <w:pStyle w:val="ImageCaption"/>
      </w:pPr>
      <w:r>
        <w:rPr>
          <w:b/>
        </w:rPr>
        <w:t xml:space="preserve">Figure S6: Number of adult equivalents per European expenditure decile and estimated number of people per European expenditure decile.</w:t>
      </w:r>
    </w:p>
    <w:p>
      <w:pPr>
        <w:pStyle w:val="Heading2"/>
      </w:pPr>
      <w:bookmarkStart w:id="51" w:name="Xf329215321af9ee65f150ab66003812d0079232"/>
      <w:r>
        <w:t xml:space="preserve">Figure 5 from main paper in household final energy per capita</w:t>
      </w:r>
      <w:bookmarkEnd w:id="51"/>
    </w:p>
    <w:p>
      <w:pPr>
        <w:pStyle w:val="FirstParagraph"/>
      </w:pPr>
      <w:r>
        <w:t xml:space="preserve">Here we re-create Figure 5 from the main paper after estimating our energy footprint per European expenditure decile in per capita terms (using the population per decile estimates from above), instead of per adult equivalent terms. Now we only adjust the decarbonisation scenario final energy numbers from total GJ per capita to household GJ per capita, so, for example, 53 total GJ/capita becomes: 53 * 0.63 = 33 household GJ/capita.</w:t>
      </w:r>
    </w:p>
    <w:p>
      <w:pPr>
        <w:pStyle w:val="CaptionedFigure"/>
      </w:pPr>
      <w:r>
        <w:drawing>
          <wp:inline>
            <wp:extent cx="5943600" cy="4669971"/>
            <wp:effectExtent b="0" l="0" r="0" t="0"/>
            <wp:docPr descr="Figure S7: Mean energy available for Europe in decarbonisation scenarios, positioned in option space between a range of minimum energy requirements and range of associated maximum inequality. All expenditure deciles have ‘best technology’ already. Unit of analysis is household GJ per capita. Final energy (in household GJ per capita in 2050) from two more SSP scenarios (which do not necessarily hit the 1.5°C target) are added from the IIASA scenario database (38) for comparison: SSP3-3.4 (MESSAGE-GLOBIOM, OECD), SSP4-1.9 (WITCH-GLOBIOM, OECD)." title="" id="1" name="Picture"/>
            <a:graphic>
              <a:graphicData uri="http://schemas.openxmlformats.org/drawingml/2006/picture">
                <pic:pic>
                  <pic:nvPicPr>
                    <pic:cNvPr descr="../figures/unnamed-chunk-8-1.png" id="0" name="Picture"/>
                    <pic:cNvPicPr>
                      <a:picLocks noChangeArrowheads="1" noChangeAspect="1"/>
                    </pic:cNvPicPr>
                  </pic:nvPicPr>
                  <pic:blipFill>
                    <a:blip r:embed="rId52"/>
                    <a:stretch>
                      <a:fillRect/>
                    </a:stretch>
                  </pic:blipFill>
                  <pic:spPr bwMode="auto">
                    <a:xfrm>
                      <a:off x="0" y="0"/>
                      <a:ext cx="5943600" cy="4669971"/>
                    </a:xfrm>
                    <a:prstGeom prst="rect">
                      <a:avLst/>
                    </a:prstGeom>
                    <a:noFill/>
                    <a:ln w="9525">
                      <a:noFill/>
                      <a:headEnd/>
                      <a:tailEnd/>
                    </a:ln>
                  </pic:spPr>
                </pic:pic>
              </a:graphicData>
            </a:graphic>
          </wp:inline>
        </w:drawing>
      </w:r>
    </w:p>
    <w:p>
      <w:pPr>
        <w:pStyle w:val="ImageCaption"/>
      </w:pPr>
      <w:r>
        <w:rPr>
          <w:b/>
        </w:rPr>
        <w:t xml:space="preserve">Figure S7: Mean energy available for Europe in decarbonisation scenarios, positioned in option space between a range of minimum energy requirements and range of associated maximum inequality. All expenditure deciles have</w:t>
      </w:r>
      <w:r>
        <w:rPr>
          <w:b/>
        </w:rPr>
        <w:t xml:space="preserve"> </w:t>
      </w:r>
      <w:r>
        <w:rPr>
          <w:b/>
        </w:rPr>
        <w:t xml:space="preserve">‘</w:t>
      </w:r>
      <w:r>
        <w:rPr>
          <w:b/>
        </w:rPr>
        <w:t xml:space="preserve">best technology</w:t>
      </w:r>
      <w:r>
        <w:rPr>
          <w:b/>
        </w:rPr>
        <w:t xml:space="preserve">’</w:t>
      </w:r>
      <w:r>
        <w:rPr>
          <w:b/>
        </w:rPr>
        <w:t xml:space="preserve"> </w:t>
      </w:r>
      <w:r>
        <w:rPr>
          <w:b/>
        </w:rPr>
        <w:t xml:space="preserve">already. Unit of analysis is household GJ per capita. Final energy (in household GJ per capita in 2050) from two more SSP scenarios (which do not necessarily hit the 1.5°C target) are added from the IIASA scenario database</w:t>
      </w:r>
      <w:r>
        <w:rPr>
          <w:b/>
        </w:rPr>
        <w:t xml:space="preserve"> </w:t>
      </w:r>
      <w:r>
        <w:rPr>
          <w:b/>
        </w:rPr>
        <w:t xml:space="preserve">(38)</w:t>
      </w:r>
      <w:r>
        <w:rPr>
          <w:b/>
        </w:rPr>
        <w:t xml:space="preserve"> </w:t>
      </w:r>
      <w:r>
        <w:rPr>
          <w:b/>
        </w:rPr>
        <w:t xml:space="preserve">for comparison: SSP3-3.4 (MESSAGE-GLOBIOM, OECD), SSP4-1.9 (WITCH-GLOBIOM, OECD).</w:t>
      </w:r>
    </w:p>
    <w:p>
      <w:r>
        <w:br w:type="page"/>
      </w:r>
    </w:p>
    <w:p>
      <w:pPr>
        <w:pStyle w:val="Heading1"/>
      </w:pPr>
      <w:bookmarkStart w:id="53" w:name="references"/>
      <w:r>
        <w:t xml:space="preserve">References</w:t>
      </w:r>
      <w:bookmarkEnd w:id="53"/>
    </w:p>
    <w:bookmarkStart w:id="126" w:name="refs"/>
    <w:bookmarkStart w:id="55"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54">
        <w:r>
          <w:rPr>
            <w:rStyle w:val="Hyperlink"/>
          </w:rPr>
          <w:t xml:space="preserve">https://onlinelibrary.wiley.com/doi/abs/10.1111/jiec.12715</w:t>
        </w:r>
      </w:hyperlink>
    </w:p>
    <w:bookmarkEnd w:id="55"/>
    <w:bookmarkStart w:id="56" w:name="ref-stadler_exiobase_2019"/>
    <w:p>
      <w:pPr>
        <w:pStyle w:val="Bibliography"/>
      </w:pPr>
      <w:r>
        <w:t xml:space="preserve">2. Stadler K, Wood R, Bulavskaya T, Södersten C-J, Simas M, Schmidt S, et al. EXIOBASE 3 [Internet]. Zenodo; 2019 [cited 2021 Jan 20]. Available from:</w:t>
      </w:r>
      <w:r>
        <w:t xml:space="preserve"> </w:t>
      </w:r>
      <w:hyperlink r:id="rId22">
        <w:r>
          <w:rPr>
            <w:rStyle w:val="Hyperlink"/>
          </w:rPr>
          <w:t xml:space="preserve">https://zenodo.org/record/3583071#.XjC7kSN4wpY</w:t>
        </w:r>
      </w:hyperlink>
    </w:p>
    <w:bookmarkEnd w:id="56"/>
    <w:bookmarkStart w:id="57" w:name="ref-eurostat_database_nodate"/>
    <w:p>
      <w:pPr>
        <w:pStyle w:val="Bibliography"/>
      </w:pPr>
      <w:r>
        <w:t xml:space="preserve">3. Eurostat. Database - Household budget surveys - Eurostat [Internet]. [cited 2021 Jan 20]. Available from:</w:t>
      </w:r>
      <w:r>
        <w:t xml:space="preserve"> </w:t>
      </w:r>
      <w:hyperlink r:id="rId23">
        <w:r>
          <w:rPr>
            <w:rStyle w:val="Hyperlink"/>
          </w:rPr>
          <w:t xml:space="preserve">https://ec.europa.eu/eurostat/web/household-budget-surveys/database</w:t>
        </w:r>
      </w:hyperlink>
    </w:p>
    <w:bookmarkEnd w:id="57"/>
    <w:bookmarkStart w:id="59" w:name="ref-r_core_team_r:_2020"/>
    <w:p>
      <w:pPr>
        <w:pStyle w:val="Bibliography"/>
      </w:pPr>
      <w:r>
        <w:t xml:space="preserve">4. R Core Team. R: A Language and Environment for Statistical Computing [Internet]. Vienna, Austria: R Foundation for Statistical Computing; 2020. Available from:</w:t>
      </w:r>
      <w:r>
        <w:t xml:space="preserve"> </w:t>
      </w:r>
      <w:hyperlink r:id="rId58">
        <w:r>
          <w:rPr>
            <w:rStyle w:val="Hyperlink"/>
          </w:rPr>
          <w:t xml:space="preserve">https://www.R-project.org/</w:t>
        </w:r>
      </w:hyperlink>
    </w:p>
    <w:bookmarkEnd w:id="59"/>
    <w:bookmarkStart w:id="61" w:name="ref-wickham_welcome_2019"/>
    <w:p>
      <w:pPr>
        <w:pStyle w:val="Bibliography"/>
      </w:pPr>
      <w:r>
        <w:t xml:space="preserve">5. Wickham H, Averick M, Bryan J, Chang W, McGowan LD, François R, et al. Welcome to the Tidyverse. Journal of Open Source Software [Internet]. 2019 Nov [cited 2021 Feb 1];4(43):1686. Available from:</w:t>
      </w:r>
      <w:r>
        <w:t xml:space="preserve"> </w:t>
      </w:r>
      <w:hyperlink r:id="rId60">
        <w:r>
          <w:rPr>
            <w:rStyle w:val="Hyperlink"/>
          </w:rPr>
          <w:t xml:space="preserve">https://joss.theoj.org/papers/10.21105/joss.01686</w:t>
        </w:r>
      </w:hyperlink>
    </w:p>
    <w:bookmarkEnd w:id="61"/>
    <w:bookmarkStart w:id="63" w:name="ref-firke_janitor:_2021"/>
    <w:p>
      <w:pPr>
        <w:pStyle w:val="Bibliography"/>
      </w:pPr>
      <w:r>
        <w:t xml:space="preserve">6. Firke S, Denney B, Haid C, Knight R, Grosser M, Zadra J. Janitor: Simple Tools for Examining and Cleaning Dirty Data [Internet]. 2021 [cited 2021 Feb 1]. Available from:</w:t>
      </w:r>
      <w:r>
        <w:t xml:space="preserve"> </w:t>
      </w:r>
      <w:hyperlink r:id="rId62">
        <w:r>
          <w:rPr>
            <w:rStyle w:val="Hyperlink"/>
          </w:rPr>
          <w:t xml:space="preserve">https://CRAN.R-project.org/package=janitor</w:t>
        </w:r>
      </w:hyperlink>
    </w:p>
    <w:bookmarkEnd w:id="63"/>
    <w:bookmarkStart w:id="65" w:name="ref-muller_here:_2020"/>
    <w:p>
      <w:pPr>
        <w:pStyle w:val="Bibliography"/>
      </w:pPr>
      <w:r>
        <w:t xml:space="preserve">7. Müller K, Bryan J. Here: A Simpler Way to Find Your Files [Internet]. 2020 [cited 2021 Feb 1]. Available from:</w:t>
      </w:r>
      <w:r>
        <w:t xml:space="preserve"> </w:t>
      </w:r>
      <w:hyperlink r:id="rId64">
        <w:r>
          <w:rPr>
            <w:rStyle w:val="Hyperlink"/>
          </w:rPr>
          <w:t xml:space="preserve">https://CRAN.R-project.org/package=here</w:t>
        </w:r>
      </w:hyperlink>
    </w:p>
    <w:bookmarkEnd w:id="65"/>
    <w:bookmarkStart w:id="67" w:name="ref-piburn_wbstats:_2020"/>
    <w:p>
      <w:pPr>
        <w:pStyle w:val="Bibliography"/>
      </w:pPr>
      <w:r>
        <w:t xml:space="preserve">8. Piburn J, UT-Battelle, LLC. Wbstats: Programmatic Access to Data and Statistics from the World Bank API [Internet]. 2020 [cited 2021 Feb 1]. Available from:</w:t>
      </w:r>
      <w:r>
        <w:t xml:space="preserve"> </w:t>
      </w:r>
      <w:hyperlink r:id="rId66">
        <w:r>
          <w:rPr>
            <w:rStyle w:val="Hyperlink"/>
          </w:rPr>
          <w:t xml:space="preserve">https://CRAN.R-project.org/package=wbstats</w:t>
        </w:r>
      </w:hyperlink>
    </w:p>
    <w:bookmarkEnd w:id="67"/>
    <w:bookmarkStart w:id="69" w:name="ref-buchta_isocodes:_2020"/>
    <w:p>
      <w:pPr>
        <w:pStyle w:val="Bibliography"/>
      </w:pPr>
      <w:r>
        <w:t xml:space="preserve">9. Buchta C, Hornik [aut K, cre. ISOcodes: Selected ISO Codes [Internet]. 2020 [cited 2021 Feb 1]. Available from:</w:t>
      </w:r>
      <w:r>
        <w:t xml:space="preserve"> </w:t>
      </w:r>
      <w:hyperlink r:id="rId68">
        <w:r>
          <w:rPr>
            <w:rStyle w:val="Hyperlink"/>
          </w:rPr>
          <w:t xml:space="preserve">https://CRAN.R-project.org/package=ISOcodes</w:t>
        </w:r>
      </w:hyperlink>
    </w:p>
    <w:bookmarkEnd w:id="69"/>
    <w:bookmarkStart w:id="71" w:name="ref-garnier_viridis:_2018"/>
    <w:p>
      <w:pPr>
        <w:pStyle w:val="Bibliography"/>
      </w:pPr>
      <w:r>
        <w:t xml:space="preserve">10. Garnier S, Ross N, Rudis B, Sciaini M, Scherer C. Viridis: Default Color Maps from ’matplotlib’ [Internet]. 2018 [cited 2021 Feb 1]. Available from:</w:t>
      </w:r>
      <w:r>
        <w:t xml:space="preserve"> </w:t>
      </w:r>
      <w:hyperlink r:id="rId70">
        <w:r>
          <w:rPr>
            <w:rStyle w:val="Hyperlink"/>
          </w:rPr>
          <w:t xml:space="preserve">https://CRAN.R-project.org/package=viridis</w:t>
        </w:r>
      </w:hyperlink>
    </w:p>
    <w:bookmarkEnd w:id="71"/>
    <w:bookmarkStart w:id="73" w:name="ref-rudis_hrbrthemes:_2020"/>
    <w:p>
      <w:pPr>
        <w:pStyle w:val="Bibliography"/>
      </w:pPr>
      <w:r>
        <w:t xml:space="preserve">11. Rudis B, Kennedy P, Reiner P, support) DW( axis, Adam X, Fonts) G(C&amp;TW, et al. Hrbrthemes: Additional Themes, Theme Components and Utilities for ’ggplot2’ [Internet]. 2020 [cited 2021 Feb 1]. Available from:</w:t>
      </w:r>
      <w:r>
        <w:t xml:space="preserve"> </w:t>
      </w:r>
      <w:hyperlink r:id="rId72">
        <w:r>
          <w:rPr>
            <w:rStyle w:val="Hyperlink"/>
          </w:rPr>
          <w:t xml:space="preserve">https://CRAN.R-project.org/package=hrbrthemes</w:t>
        </w:r>
      </w:hyperlink>
    </w:p>
    <w:bookmarkEnd w:id="73"/>
    <w:bookmarkStart w:id="75" w:name="ref-ram_wesanderson:_2018"/>
    <w:p>
      <w:pPr>
        <w:pStyle w:val="Bibliography"/>
      </w:pPr>
      <w:r>
        <w:t xml:space="preserve">12. Ram K, Wickham H, Richards C, Baggett A. Wesanderson: A Wes Anderson Palette Generator [Internet]. 2018 [cited 2021 Feb 1]. Available from:</w:t>
      </w:r>
      <w:r>
        <w:t xml:space="preserve"> </w:t>
      </w:r>
      <w:hyperlink r:id="rId74">
        <w:r>
          <w:rPr>
            <w:rStyle w:val="Hyperlink"/>
          </w:rPr>
          <w:t xml:space="preserve">https://CRAN.R-project.org/package=wesanderson</w:t>
        </w:r>
      </w:hyperlink>
    </w:p>
    <w:bookmarkEnd w:id="75"/>
    <w:bookmarkStart w:id="77" w:name="ref-hester_glue:_2020"/>
    <w:p>
      <w:pPr>
        <w:pStyle w:val="Bibliography"/>
      </w:pPr>
      <w:r>
        <w:t xml:space="preserve">13. Hester J. Glue: Interpreted String Literals [Internet]. 2020 [cited 2021 Feb 1]. Available from:</w:t>
      </w:r>
      <w:r>
        <w:t xml:space="preserve"> </w:t>
      </w:r>
      <w:hyperlink r:id="rId76">
        <w:r>
          <w:rPr>
            <w:rStyle w:val="Hyperlink"/>
          </w:rPr>
          <w:t xml:space="preserve">https://CRAN.R-project.org/package=glue</w:t>
        </w:r>
      </w:hyperlink>
    </w:p>
    <w:bookmarkEnd w:id="77"/>
    <w:bookmarkStart w:id="79" w:name="ref-wilke_ggridges:_2021"/>
    <w:p>
      <w:pPr>
        <w:pStyle w:val="Bibliography"/>
      </w:pPr>
      <w:r>
        <w:t xml:space="preserve">14. Wilke CO. Ggridges: Ridgeline Plots in ’ggplot2’ [Internet]. 2021 [cited 2021 Feb 1]. Available from:</w:t>
      </w:r>
      <w:r>
        <w:t xml:space="preserve"> </w:t>
      </w:r>
      <w:hyperlink r:id="rId78">
        <w:r>
          <w:rPr>
            <w:rStyle w:val="Hyperlink"/>
          </w:rPr>
          <w:t xml:space="preserve">https://CRAN.R-project.org/package=ggridges</w:t>
        </w:r>
      </w:hyperlink>
    </w:p>
    <w:bookmarkEnd w:id="79"/>
    <w:bookmarkStart w:id="81" w:name="ref-pedersen_patchwork:_2020"/>
    <w:p>
      <w:pPr>
        <w:pStyle w:val="Bibliography"/>
      </w:pPr>
      <w:r>
        <w:t xml:space="preserve">15. Pedersen TL. Patchwork: The Composer of Plots [Internet]. 2020 [cited 2021 Feb 1]. Available from:</w:t>
      </w:r>
      <w:r>
        <w:t xml:space="preserve"> </w:t>
      </w:r>
      <w:hyperlink r:id="rId80">
        <w:r>
          <w:rPr>
            <w:rStyle w:val="Hyperlink"/>
          </w:rPr>
          <w:t xml:space="preserve">https://CRAN.R-project.org/package=patchwork</w:t>
        </w:r>
      </w:hyperlink>
    </w:p>
    <w:bookmarkEnd w:id="81"/>
    <w:bookmarkStart w:id="83" w:name="ref-zhu_kableextra:_2020"/>
    <w:p>
      <w:pPr>
        <w:pStyle w:val="Bibliography"/>
      </w:pPr>
      <w:r>
        <w:t xml:space="preserve">16. Zhu H, Travison T, Tsai T, Beasley W, Xie Y, Yu G, et al. kableExtra: Construct Complex Table with ’kable’ and Pipe Syntax [Internet]. 2020 [cited 2021 Feb 1]. Available from:</w:t>
      </w:r>
      <w:r>
        <w:t xml:space="preserve"> </w:t>
      </w:r>
      <w:hyperlink r:id="rId82">
        <w:r>
          <w:rPr>
            <w:rStyle w:val="Hyperlink"/>
          </w:rPr>
          <w:t xml:space="preserve">https://CRAN.R-project.org/package=kableExtra</w:t>
        </w:r>
      </w:hyperlink>
    </w:p>
    <w:bookmarkEnd w:id="83"/>
    <w:bookmarkStart w:id="85" w:name="ref-wickham_readxl:_2019"/>
    <w:p>
      <w:pPr>
        <w:pStyle w:val="Bibliography"/>
      </w:pPr>
      <w:r>
        <w:t xml:space="preserve">17. Wickham H, Bryan J, attribution) R( holder of all R code and all C code without explicit copyright, code) MK( of included R, code) KV( of included libxls, code) CL( of included libxls, et al. Readxl: Read Excel Files [Internet]. 2019 [cited 2021 Feb 1]. Available from:</w:t>
      </w:r>
      <w:r>
        <w:t xml:space="preserve"> </w:t>
      </w:r>
      <w:hyperlink r:id="rId84">
        <w:r>
          <w:rPr>
            <w:rStyle w:val="Hyperlink"/>
          </w:rPr>
          <w:t xml:space="preserve">https://CRAN.R-project.org/package=readxl</w:t>
        </w:r>
      </w:hyperlink>
    </w:p>
    <w:bookmarkEnd w:id="85"/>
    <w:bookmarkStart w:id="87" w:name="ref-gohel_flextable:_2021"/>
    <w:p>
      <w:pPr>
        <w:pStyle w:val="Bibliography"/>
      </w:pPr>
      <w:r>
        <w:t xml:space="preserve">18. Gohel D, Fazilleau Q, output) MN( for docx, Robert T, footnotes) MB(, reference) AY( for bookdown cross, et al. Flextable: Functions for Tabular Reporting [Internet]. 2021 [cited 2021 Feb 1]. Available from:</w:t>
      </w:r>
      <w:r>
        <w:t xml:space="preserve"> </w:t>
      </w:r>
      <w:hyperlink r:id="rId86">
        <w:r>
          <w:rPr>
            <w:rStyle w:val="Hyperlink"/>
          </w:rPr>
          <w:t xml:space="preserve">https://CRAN.R-project.org/package=flextable</w:t>
        </w:r>
      </w:hyperlink>
    </w:p>
    <w:bookmarkEnd w:id="87"/>
    <w:bookmarkStart w:id="89" w:name="ref-south_rworldmap:_2016"/>
    <w:p>
      <w:pPr>
        <w:pStyle w:val="Bibliography"/>
      </w:pPr>
      <w:r>
        <w:t xml:space="preserve">19. South A. Rworldmap: Mapping Global Data [Internet]. 2016 [cited 2021 Feb 1]. Available from:</w:t>
      </w:r>
      <w:r>
        <w:t xml:space="preserve"> </w:t>
      </w:r>
      <w:hyperlink r:id="rId88">
        <w:r>
          <w:rPr>
            <w:rStyle w:val="Hyperlink"/>
          </w:rPr>
          <w:t xml:space="preserve">https://CRAN.R-project.org/package=rworldmap</w:t>
        </w:r>
      </w:hyperlink>
    </w:p>
    <w:bookmarkEnd w:id="89"/>
    <w:bookmarkStart w:id="91" w:name="ref-arnold_ggthemes:_2021"/>
    <w:p>
      <w:pPr>
        <w:pStyle w:val="Bibliography"/>
      </w:pPr>
      <w:r>
        <w:t xml:space="preserve">20. Arnold JB, Daroczi G, Werth B, Weitzner B, Kunst J, Auguie B, et al. Ggthemes: Extra Themes, Scales and Geoms for ’ggplot2’ [Internet]. 2021 [cited 2021 Feb 1]. Available from:</w:t>
      </w:r>
      <w:r>
        <w:t xml:space="preserve"> </w:t>
      </w:r>
      <w:hyperlink r:id="rId90">
        <w:r>
          <w:rPr>
            <w:rStyle w:val="Hyperlink"/>
          </w:rPr>
          <w:t xml:space="preserve">https://CRAN.R-project.org/package=ggthemes</w:t>
        </w:r>
      </w:hyperlink>
    </w:p>
    <w:bookmarkEnd w:id="91"/>
    <w:bookmarkStart w:id="92" w:name="ref-miller_input-output_1985"/>
    <w:p>
      <w:pPr>
        <w:pStyle w:val="Bibliography"/>
      </w:pPr>
      <w:r>
        <w:t xml:space="preserve">21. Miller RE, Blair PD. Input-output analysis: Foundations and extensions. Englewood Cliffs, N.J: Prentice-Hall; 1985.</w:t>
      </w:r>
      <w:r>
        <w:t xml:space="preserve"> </w:t>
      </w:r>
    </w:p>
    <w:bookmarkEnd w:id="92"/>
    <w:bookmarkStart w:id="93" w:name="ref-myhre_g._anthropogenic_2013"/>
    <w:p>
      <w:pPr>
        <w:pStyle w:val="Bibliography"/>
      </w:pPr>
      <w:r>
        <w:t xml:space="preserve">22.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93"/>
    <w:bookmarkStart w:id="94" w:name="ref-eurostat_manual_2015"/>
    <w:p>
      <w:pPr>
        <w:pStyle w:val="Bibliography"/>
      </w:pPr>
      <w:r>
        <w:t xml:space="preserve">23. Eurostat. Manual for air emission accounts. 2015.</w:t>
      </w:r>
      <w:r>
        <w:t xml:space="preserve"> </w:t>
      </w:r>
    </w:p>
    <w:bookmarkEnd w:id="94"/>
    <w:bookmarkStart w:id="95" w:name="ref-eurostat_eurostat_2020"/>
    <w:p>
      <w:pPr>
        <w:pStyle w:val="Bibliography"/>
      </w:pPr>
      <w:r>
        <w:t xml:space="preserve">24. Eurostat. Eurostat - Data Explorer - Energy supply and use by NACE Rev. 2 activity [Internet]. 2020 [cited 2020 Aug 11]. Available from:</w:t>
      </w:r>
      <w:r>
        <w:t xml:space="preserve"> </w:t>
      </w:r>
      <w:hyperlink r:id="rId27">
        <w:r>
          <w:rPr>
            <w:rStyle w:val="Hyperlink"/>
          </w:rPr>
          <w:t xml:space="preserve">http://appsso.eurostat.ec.europa.eu/nui/show.do?dataset=env_ac_pefasu</w:t>
        </w:r>
      </w:hyperlink>
    </w:p>
    <w:bookmarkEnd w:id="95"/>
    <w:bookmarkStart w:id="96" w:name="ref-eurostat_eurostat_nodate"/>
    <w:p>
      <w:pPr>
        <w:pStyle w:val="Bibliography"/>
      </w:pPr>
      <w:r>
        <w:t xml:space="preserve">25. Eurostat. Eurostat - Data Explorer - Air emissions accounts by NACE Rev. 2 activity [Internet]. [cited 2021 Jan 20]. Available from:</w:t>
      </w:r>
      <w:r>
        <w:t xml:space="preserve"> </w:t>
      </w:r>
      <w:hyperlink r:id="rId28">
        <w:r>
          <w:rPr>
            <w:rStyle w:val="Hyperlink"/>
          </w:rPr>
          <w:t xml:space="preserve">https://appsso.eurostat.ec.europa.eu/nui/show.do?dataset=env_ac_ainah_r2&amp;lang=en</w:t>
        </w:r>
      </w:hyperlink>
    </w:p>
    <w:bookmarkEnd w:id="96"/>
    <w:bookmarkStart w:id="98" w:name="ref-eurostat_description_2016"/>
    <w:p>
      <w:pPr>
        <w:pStyle w:val="Bibliography"/>
      </w:pPr>
      <w:r>
        <w:t xml:space="preserve">26. Eurostat. Description of the data transmission for the Household Budget Survey (HBS) for the Reference Year 2015 Version: 3 [Internet]. 2016. Available from:</w:t>
      </w:r>
      <w:r>
        <w:t xml:space="preserve"> </w:t>
      </w:r>
      <w:hyperlink r:id="rId97">
        <w:r>
          <w:rPr>
            <w:rStyle w:val="Hyperlink"/>
          </w:rPr>
          <w:t xml:space="preserve">https://ec.europa.eu/eurostat/documents/54431/1966394/HBS2015_Transmission_DOC_V3.2018_05_22.pdf</w:t>
        </w:r>
      </w:hyperlink>
    </w:p>
    <w:bookmarkEnd w:id="98"/>
    <w:bookmarkStart w:id="100" w:name="ref-eurostat_eurostat_nodate-1"/>
    <w:p>
      <w:pPr>
        <w:pStyle w:val="Bibliography"/>
      </w:pPr>
      <w:r>
        <w:t xml:space="preserve">27. Eurostat. Eurostat - Data Explorer - Number of private households by household composition, number of children and age of youngest child (1 000) [Internet]. [cited 2021 Jan 20]. Available from:</w:t>
      </w:r>
      <w:r>
        <w:t xml:space="preserve"> </w:t>
      </w:r>
      <w:hyperlink r:id="rId99">
        <w:r>
          <w:rPr>
            <w:rStyle w:val="Hyperlink"/>
          </w:rPr>
          <w:t xml:space="preserve">https://appsso.eurostat.ec.europa.eu/nui/show.do?dataset=lfst_hhnhtych&amp;lang=en</w:t>
        </w:r>
      </w:hyperlink>
    </w:p>
    <w:bookmarkEnd w:id="100"/>
    <w:bookmarkStart w:id="102" w:name="ref-statistics_norway_10986:_nodate"/>
    <w:p>
      <w:pPr>
        <w:pStyle w:val="Bibliography"/>
      </w:pPr>
      <w:r>
        <w:t xml:space="preserve">28. Statistics Norway. 10986: Private households and persons in private households, by type of household (C) 2005 - 2020 [Internet]. PX-Web SSB. [cited 2021 Jan 20]. Available from:</w:t>
      </w:r>
      <w:r>
        <w:t xml:space="preserve"> </w:t>
      </w:r>
      <w:hyperlink r:id="rId101">
        <w:r>
          <w:rPr>
            <w:rStyle w:val="Hyperlink"/>
          </w:rPr>
          <w:t xml:space="preserve">http://www.ssb.no/en/statbanken/statbank/table/10986/</w:t>
        </w:r>
      </w:hyperlink>
    </w:p>
    <w:bookmarkEnd w:id="102"/>
    <w:bookmarkStart w:id="104" w:name="ref-eurostat_eu_2020"/>
    <w:p>
      <w:pPr>
        <w:pStyle w:val="Bibliography"/>
      </w:pPr>
      <w:r>
        <w:t xml:space="preserve">29. Eurostat. EU Quality Report of the Household Budget Survey 2015 Wave [Internet]. 2020. Available from:</w:t>
      </w:r>
      <w:r>
        <w:t xml:space="preserve"> </w:t>
      </w:r>
      <w:hyperlink r:id="rId103">
        <w:r>
          <w:rPr>
            <w:rStyle w:val="Hyperlink"/>
          </w:rPr>
          <w:t xml:space="preserve">https://ec.europa.eu/eurostat/documents/54431/1966394/HBS_EU_QualityReport_2015.pdf/72d7e310-c415-7806-93cc-e3bc7a49b596</w:t>
        </w:r>
      </w:hyperlink>
    </w:p>
    <w:bookmarkEnd w:id="104"/>
    <w:bookmarkStart w:id="106" w:name="ref-moran_convergence_2014"/>
    <w:p>
      <w:pPr>
        <w:pStyle w:val="Bibliography"/>
      </w:pPr>
      <w:r>
        <w:t xml:space="preserve">30. Moran D, Wood R. Convergence Between the Eora, Wiod, Exiobase, and Openeu’s Consumption-Based Carbon Accounts. Economic Systems Research [Internet]. 2014 Jul [cited 2018 Aug 15];26(3):245–61. Available from:</w:t>
      </w:r>
      <w:r>
        <w:t xml:space="preserve"> </w:t>
      </w:r>
      <w:hyperlink r:id="rId105">
        <w:r>
          <w:rPr>
            <w:rStyle w:val="Hyperlink"/>
          </w:rPr>
          <w:t xml:space="preserve">https://doi.org/10.1080/09535314.2014.935298</w:t>
        </w:r>
      </w:hyperlink>
    </w:p>
    <w:bookmarkEnd w:id="106"/>
    <w:bookmarkStart w:id="108" w:name="ref-ivanova_unequal_2020"/>
    <w:p>
      <w:pPr>
        <w:pStyle w:val="Bibliography"/>
      </w:pPr>
      <w:r>
        <w:t xml:space="preserve">31. Ivanova D, Wood R. The unequal distribution of household carbon footprints in Europe and its link to sustainability. Global Sustainability [Internet]. 2020 [cited 2020 Jul 7];3. Available from:</w:t>
      </w:r>
      <w:r>
        <w:t xml:space="preserve"> </w:t>
      </w:r>
      <w:hyperlink r:id="rId107">
        <w:r>
          <w:rPr>
            <w:rStyle w:val="Hyperlink"/>
          </w:rPr>
          <w:t xml:space="preserve">https://www.cambridge.org/core/journals/global-sustainability/article/unequal-distribution-of-household-carbon-footprints-in-europe-and-its-link-to-sustainability/F1ED4F705AF1C6C1FCAD477398353DC2</w:t>
        </w:r>
      </w:hyperlink>
    </w:p>
    <w:bookmarkEnd w:id="108"/>
    <w:bookmarkStart w:id="110" w:name="ref-gore_t._confronting_2020"/>
    <w:p>
      <w:pPr>
        <w:pStyle w:val="Bibliography"/>
      </w:pPr>
      <w:r>
        <w:t xml:space="preserve">32. Gore, T., Alestig, M. Confronting carbon inequality in the European Union [Internet]. 2020 [cited 2021 Jan 21]. Available from:</w:t>
      </w:r>
      <w:r>
        <w:t xml:space="preserve"> </w:t>
      </w:r>
      <w:hyperlink r:id="rId109">
        <w:r>
          <w:rPr>
            <w:rStyle w:val="Hyperlink"/>
          </w:rPr>
          <w:t xml:space="preserve">https://www.oxfam.org/en/research/confronting-carbon-inequality-european-union</w:t>
        </w:r>
      </w:hyperlink>
    </w:p>
    <w:bookmarkEnd w:id="110"/>
    <w:bookmarkStart w:id="112" w:name="ref-sommer_carbon_2017"/>
    <w:p>
      <w:pPr>
        <w:pStyle w:val="Bibliography"/>
      </w:pPr>
      <w:r>
        <w:t xml:space="preserve">33. Sommer M, Kratena K. The Carbon Footprint of European Households and Income Distribution. Ecological Economics [Internet]. 2017 [cited 2020 Aug 12];136(C):62–72. Available from:</w:t>
      </w:r>
      <w:r>
        <w:t xml:space="preserve"> </w:t>
      </w:r>
      <w:hyperlink r:id="rId111">
        <w:r>
          <w:rPr>
            <w:rStyle w:val="Hyperlink"/>
          </w:rPr>
          <w:t xml:space="preserve">https://econpapers.repec.org/article/eeeecolec/v_3a136_3ay_3a2017_3ai_3ac_3ap_3a62-72.htm</w:t>
        </w:r>
      </w:hyperlink>
    </w:p>
    <w:bookmarkEnd w:id="112"/>
    <w:bookmarkStart w:id="114" w:name="ref-bianco_understanding_2019"/>
    <w:p>
      <w:pPr>
        <w:pStyle w:val="Bibliography"/>
      </w:pPr>
      <w:r>
        <w:t xml:space="preserve">34. Bianco V, Cascetta F, Marino A, Nardini S. Understanding energy consumption and carbon emissions in Europe: A focus on inequality issues. Energy [Internet]. 2019 Mar [cited 2020 Sep 28];170:120–30. Available from:</w:t>
      </w:r>
      <w:r>
        <w:t xml:space="preserve"> </w:t>
      </w:r>
      <w:hyperlink r:id="rId113">
        <w:r>
          <w:rPr>
            <w:rStyle w:val="Hyperlink"/>
          </w:rPr>
          <w:t xml:space="preserve">http://www.sciencedirect.com/science/article/pii/S0360544218324927</w:t>
        </w:r>
      </w:hyperlink>
    </w:p>
    <w:bookmarkEnd w:id="114"/>
    <w:bookmarkStart w:id="116" w:name="ref-sovacool_reviewing_2017"/>
    <w:p>
      <w:pPr>
        <w:pStyle w:val="Bibliography"/>
      </w:pPr>
      <w:r>
        <w:t xml:space="preserve">35. Sovacool BK. Reviewing, Reforming, and Rethinking Global Energy Subsidies: Towards a Political Economy Research Agenda. Ecological Economics [Internet]. 2017 May [cited 2021 Feb 12];135:150–63. Available from:</w:t>
      </w:r>
      <w:r>
        <w:t xml:space="preserve"> </w:t>
      </w:r>
      <w:hyperlink r:id="rId115">
        <w:r>
          <w:rPr>
            <w:rStyle w:val="Hyperlink"/>
          </w:rPr>
          <w:t xml:space="preserve">https://www.sciencedirect.com/science/article/pii/S0921800916303494</w:t>
        </w:r>
      </w:hyperlink>
    </w:p>
    <w:bookmarkEnd w:id="116"/>
    <w:bookmarkStart w:id="117" w:name="ref-oecd_sut_nodate"/>
    <w:p>
      <w:pPr>
        <w:pStyle w:val="Bibliography"/>
      </w:pPr>
      <w:r>
        <w:t xml:space="preserve">36. OECD. SUT Indicators : Trade and transport margins in percentage of total supply at purchasers’ prices [Internet]. [cited 2021 Jan 20]. Available from:</w:t>
      </w:r>
      <w:r>
        <w:t xml:space="preserve"> </w:t>
      </w:r>
      <w:hyperlink r:id="rId39">
        <w:r>
          <w:rPr>
            <w:rStyle w:val="Hyperlink"/>
          </w:rPr>
          <w:t xml:space="preserve">https://stats.oecd.org/index.aspx?queryid=84864#</w:t>
        </w:r>
      </w:hyperlink>
    </w:p>
    <w:bookmarkEnd w:id="117"/>
    <w:bookmarkStart w:id="119" w:name="ref-grubler_low_2018"/>
    <w:p>
      <w:pPr>
        <w:pStyle w:val="Bibliography"/>
      </w:pPr>
      <w:r>
        <w:t xml:space="preserve">37. Grubler A, Wilson C, Bento N, Boza-Kiss B, Krey V, McCollum D, et al. A low energy demand scenario for meeting the 1.5 °C target and sustainable development goals without negative emission technologies. Nature Energy [Internet]. 2018 Jun [cited 2018 Sep 3];3:517–25. Available from:</w:t>
      </w:r>
      <w:r>
        <w:t xml:space="preserve"> </w:t>
      </w:r>
      <w:hyperlink r:id="rId118">
        <w:r>
          <w:rPr>
            <w:rStyle w:val="Hyperlink"/>
          </w:rPr>
          <w:t xml:space="preserve">https://rdcu.be/SOJx</w:t>
        </w:r>
      </w:hyperlink>
    </w:p>
    <w:bookmarkEnd w:id="119"/>
    <w:bookmarkStart w:id="121" w:name="ref-riahi_shared_2017"/>
    <w:p>
      <w:pPr>
        <w:pStyle w:val="Bibliography"/>
      </w:pPr>
      <w:r>
        <w:t xml:space="preserve">38. Riahi K, Vuuren DP van, Kriegler E, Edmonds J, O’Neill BC, Fujimori S, et al. The Shared Socioeconomic Pathways and their energy, land use, and greenhouse gas emissions implications: An overview. Global Environmental Change [Internet]. 2017 Jan [cited 2021 Jan 20];42:153–68. Available from:</w:t>
      </w:r>
      <w:r>
        <w:t xml:space="preserve"> </w:t>
      </w:r>
      <w:hyperlink r:id="rId120">
        <w:r>
          <w:rPr>
            <w:rStyle w:val="Hyperlink"/>
          </w:rPr>
          <w:t xml:space="preserve">http://www.sciencedirect.com/science/article/pii/S0959378016300681</w:t>
        </w:r>
      </w:hyperlink>
    </w:p>
    <w:bookmarkEnd w:id="121"/>
    <w:bookmarkStart w:id="123" w:name="ref-gea_gea_nodate"/>
    <w:p>
      <w:pPr>
        <w:pStyle w:val="Bibliography"/>
      </w:pPr>
      <w:r>
        <w:t xml:space="preserve">39. GEA. GEA Scenario database (public) [Internet]. [cited 2021 Jan 20]. Available from:</w:t>
      </w:r>
      <w:r>
        <w:t xml:space="preserve"> </w:t>
      </w:r>
      <w:hyperlink r:id="rId122">
        <w:r>
          <w:rPr>
            <w:rStyle w:val="Hyperlink"/>
          </w:rPr>
          <w:t xml:space="preserve">https://www.iiasa.ac.at/web-apps/ene/geadb/dsd?Action=htmlpage&amp;page=about</w:t>
        </w:r>
      </w:hyperlink>
    </w:p>
    <w:bookmarkEnd w:id="123"/>
    <w:bookmarkStart w:id="125" w:name="ref-millward-hopkins_providing_2020"/>
    <w:p>
      <w:pPr>
        <w:pStyle w:val="Bibliography"/>
      </w:pPr>
      <w:r>
        <w:t xml:space="preserve">40. Millward-Hopkins J, Steinberger JK, Rao ND, Oswald Y. Providing decent living with minimum energy: A global scenario. Global Environmental Change [Internet]. 2020 Nov [cited 2020 Oct 9];65:102168. Available from:</w:t>
      </w:r>
      <w:r>
        <w:t xml:space="preserve"> </w:t>
      </w:r>
      <w:hyperlink r:id="rId124">
        <w:r>
          <w:rPr>
            <w:rStyle w:val="Hyperlink"/>
          </w:rPr>
          <w:t xml:space="preserve">http://www.sciencedirect.com/science/article/pii/S0959378020307512</w:t>
        </w:r>
      </w:hyperlink>
    </w:p>
    <w:bookmarkEnd w:id="125"/>
    <w:bookmarkEnd w:id="126"/>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image" Id="rId48" Target="media/rId48.png" /><Relationship Type="http://schemas.openxmlformats.org/officeDocument/2006/relationships/image" Id="rId50" Target="media/rId50.png" /><Relationship Type="http://schemas.openxmlformats.org/officeDocument/2006/relationships/image" Id="rId36" Target="media/rId36.png" /><Relationship Type="http://schemas.openxmlformats.org/officeDocument/2006/relationships/image" Id="rId52" Target="media/rId52.png" /><Relationship Type="http://schemas.openxmlformats.org/officeDocument/2006/relationships/hyperlink" Id="rId27" Target="http://appsso.eurostat.ec.europa.eu/nui/show.do?dataset=env_ac_pefasu" TargetMode="External" /><Relationship Type="http://schemas.openxmlformats.org/officeDocument/2006/relationships/hyperlink" Id="rId113" Target="http://www.sciencedirect.com/science/article/pii/S0360544218324927" TargetMode="External" /><Relationship Type="http://schemas.openxmlformats.org/officeDocument/2006/relationships/hyperlink" Id="rId120" Target="http://www.sciencedirect.com/science/article/pii/S0959378016300681" TargetMode="External" /><Relationship Type="http://schemas.openxmlformats.org/officeDocument/2006/relationships/hyperlink" Id="rId124" Target="http://www.sciencedirect.com/science/article/pii/S0959378020307512" TargetMode="External" /><Relationship Type="http://schemas.openxmlformats.org/officeDocument/2006/relationships/hyperlink" Id="rId101" Target="http://www.ssb.no/en/statbanken/statbank/table/10986/" TargetMode="External" /><Relationship Type="http://schemas.openxmlformats.org/officeDocument/2006/relationships/hyperlink" Id="rId68" Target="https://CRAN.R-project.org/package=ISOcodes" TargetMode="External" /><Relationship Type="http://schemas.openxmlformats.org/officeDocument/2006/relationships/hyperlink" Id="rId86" Target="https://CRAN.R-project.org/package=flextable" TargetMode="External" /><Relationship Type="http://schemas.openxmlformats.org/officeDocument/2006/relationships/hyperlink" Id="rId78" Target="https://CRAN.R-project.org/package=ggridges" TargetMode="External" /><Relationship Type="http://schemas.openxmlformats.org/officeDocument/2006/relationships/hyperlink" Id="rId90" Target="https://CRAN.R-project.org/package=ggthemes" TargetMode="External" /><Relationship Type="http://schemas.openxmlformats.org/officeDocument/2006/relationships/hyperlink" Id="rId76" Target="https://CRAN.R-project.org/package=glue" TargetMode="External" /><Relationship Type="http://schemas.openxmlformats.org/officeDocument/2006/relationships/hyperlink" Id="rId64" Target="https://CRAN.R-project.org/package=here" TargetMode="External" /><Relationship Type="http://schemas.openxmlformats.org/officeDocument/2006/relationships/hyperlink" Id="rId72" Target="https://CRAN.R-project.org/package=hrbrthemes" TargetMode="External" /><Relationship Type="http://schemas.openxmlformats.org/officeDocument/2006/relationships/hyperlink" Id="rId62" Target="https://CRAN.R-project.org/package=janitor" TargetMode="External" /><Relationship Type="http://schemas.openxmlformats.org/officeDocument/2006/relationships/hyperlink" Id="rId82" Target="https://CRAN.R-project.org/package=kableExtra" TargetMode="External" /><Relationship Type="http://schemas.openxmlformats.org/officeDocument/2006/relationships/hyperlink" Id="rId80" Target="https://CRAN.R-project.org/package=patchwork" TargetMode="External" /><Relationship Type="http://schemas.openxmlformats.org/officeDocument/2006/relationships/hyperlink" Id="rId84" Target="https://CRAN.R-project.org/package=readxl" TargetMode="External" /><Relationship Type="http://schemas.openxmlformats.org/officeDocument/2006/relationships/hyperlink" Id="rId88" Target="https://CRAN.R-project.org/package=rworldmap" TargetMode="External" /><Relationship Type="http://schemas.openxmlformats.org/officeDocument/2006/relationships/hyperlink" Id="rId70" Target="https://CRAN.R-project.org/package=viridis" TargetMode="External" /><Relationship Type="http://schemas.openxmlformats.org/officeDocument/2006/relationships/hyperlink" Id="rId66" Target="https://CRAN.R-project.org/package=wbstats" TargetMode="External" /><Relationship Type="http://schemas.openxmlformats.org/officeDocument/2006/relationships/hyperlink" Id="rId74" Target="https://CRAN.R-project.org/package=wesanderson" TargetMode="External" /><Relationship Type="http://schemas.openxmlformats.org/officeDocument/2006/relationships/hyperlink" Id="rId28" Target="https://appsso.eurostat.ec.europa.eu/nui/show.do?dataset=env_ac_ainah_r2&amp;lang=en" TargetMode="External" /><Relationship Type="http://schemas.openxmlformats.org/officeDocument/2006/relationships/hyperlink" Id="rId99" Target="https://appsso.eurostat.ec.europa.eu/nui/show.do?dataset=lfst_hhnhtych&amp;lang=en" TargetMode="External" /><Relationship Type="http://schemas.openxmlformats.org/officeDocument/2006/relationships/hyperlink" Id="rId105" Target="https://doi.org/10.1080/09535314.2014.935298" TargetMode="External" /><Relationship Type="http://schemas.openxmlformats.org/officeDocument/2006/relationships/hyperlink" Id="rId97" Target="https://ec.europa.eu/eurostat/documents/54431/1966394/HBS2015_Transmission_DOC_V3.2018_05_22.pdf" TargetMode="External" /><Relationship Type="http://schemas.openxmlformats.org/officeDocument/2006/relationships/hyperlink" Id="rId103" Target="https://ec.europa.eu/eurostat/documents/54431/1966394/HBS_EU_QualityReport_2015.pdf/72d7e310-c415-7806-93cc-e3bc7a49b596" TargetMode="External" /><Relationship Type="http://schemas.openxmlformats.org/officeDocument/2006/relationships/hyperlink" Id="rId23" Target="https://ec.europa.eu/eurostat/web/household-budget-surveys/database" TargetMode="External" /><Relationship Type="http://schemas.openxmlformats.org/officeDocument/2006/relationships/hyperlink" Id="rId111" Target="https://econpapers.repec.org/article/eeeecolec/v_3a136_3ay_3a2017_3ai_3ac_3ap_3a62-72.htm" TargetMode="External" /><Relationship Type="http://schemas.openxmlformats.org/officeDocument/2006/relationships/hyperlink" Id="rId60" Target="https://joss.theoj.org/papers/10.21105/joss.01686" TargetMode="External" /><Relationship Type="http://schemas.openxmlformats.org/officeDocument/2006/relationships/hyperlink" Id="rId54" Target="https://onlinelibrary.wiley.com/doi/abs/10.1111/jiec.12715" TargetMode="External" /><Relationship Type="http://schemas.openxmlformats.org/officeDocument/2006/relationships/hyperlink" Id="rId118" Target="https://rdcu.be/SOJx" TargetMode="External" /><Relationship Type="http://schemas.openxmlformats.org/officeDocument/2006/relationships/hyperlink" Id="rId39" Target="https://stats.oecd.org/index.aspx?queryid=84864#" TargetMode="External" /><Relationship Type="http://schemas.openxmlformats.org/officeDocument/2006/relationships/hyperlink" Id="rId58" Target="https://www.R-project.org/" TargetMode="External" /><Relationship Type="http://schemas.openxmlformats.org/officeDocument/2006/relationships/hyperlink" Id="rId107" Target="https://www.cambridge.org/core/journals/global-sustainability/article/unequal-distribution-of-household-carbon-footprints-in-europe-and-its-link-to-sustainability/F1ED4F705AF1C6C1FCAD477398353DC2" TargetMode="External" /><Relationship Type="http://schemas.openxmlformats.org/officeDocument/2006/relationships/hyperlink" Id="rId122" Target="https://www.iiasa.ac.at/web-apps/ene/geadb/dsd?Action=htmlpage&amp;page=about" TargetMode="External" /><Relationship Type="http://schemas.openxmlformats.org/officeDocument/2006/relationships/hyperlink" Id="rId109" Target="https://www.oxfam.org/en/research/confronting-carbon-inequality-european-union" TargetMode="External" /><Relationship Type="http://schemas.openxmlformats.org/officeDocument/2006/relationships/hyperlink" Id="rId115" Target="https://www.sciencedirect.com/science/article/pii/S0921800916303494" TargetMode="External" /><Relationship Type="http://schemas.openxmlformats.org/officeDocument/2006/relationships/hyperlink" Id="rId30" Target="https://www.ssb.no/en/statbank/table/10986/" TargetMode="External" /><Relationship Type="http://schemas.openxmlformats.org/officeDocument/2006/relationships/hyperlink" Id="rId22"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7" Target="http://appsso.eurostat.ec.europa.eu/nui/show.do?dataset=env_ac_pefasu" TargetMode="External" /><Relationship Type="http://schemas.openxmlformats.org/officeDocument/2006/relationships/hyperlink" Id="rId113" Target="http://www.sciencedirect.com/science/article/pii/S0360544218324927" TargetMode="External" /><Relationship Type="http://schemas.openxmlformats.org/officeDocument/2006/relationships/hyperlink" Id="rId120" Target="http://www.sciencedirect.com/science/article/pii/S0959378016300681" TargetMode="External" /><Relationship Type="http://schemas.openxmlformats.org/officeDocument/2006/relationships/hyperlink" Id="rId124" Target="http://www.sciencedirect.com/science/article/pii/S0959378020307512" TargetMode="External" /><Relationship Type="http://schemas.openxmlformats.org/officeDocument/2006/relationships/hyperlink" Id="rId101" Target="http://www.ssb.no/en/statbanken/statbank/table/10986/" TargetMode="External" /><Relationship Type="http://schemas.openxmlformats.org/officeDocument/2006/relationships/hyperlink" Id="rId68" Target="https://CRAN.R-project.org/package=ISOcodes" TargetMode="External" /><Relationship Type="http://schemas.openxmlformats.org/officeDocument/2006/relationships/hyperlink" Id="rId86" Target="https://CRAN.R-project.org/package=flextable" TargetMode="External" /><Relationship Type="http://schemas.openxmlformats.org/officeDocument/2006/relationships/hyperlink" Id="rId78" Target="https://CRAN.R-project.org/package=ggridges" TargetMode="External" /><Relationship Type="http://schemas.openxmlformats.org/officeDocument/2006/relationships/hyperlink" Id="rId90" Target="https://CRAN.R-project.org/package=ggthemes" TargetMode="External" /><Relationship Type="http://schemas.openxmlformats.org/officeDocument/2006/relationships/hyperlink" Id="rId76" Target="https://CRAN.R-project.org/package=glue" TargetMode="External" /><Relationship Type="http://schemas.openxmlformats.org/officeDocument/2006/relationships/hyperlink" Id="rId64" Target="https://CRAN.R-project.org/package=here" TargetMode="External" /><Relationship Type="http://schemas.openxmlformats.org/officeDocument/2006/relationships/hyperlink" Id="rId72" Target="https://CRAN.R-project.org/package=hrbrthemes" TargetMode="External" /><Relationship Type="http://schemas.openxmlformats.org/officeDocument/2006/relationships/hyperlink" Id="rId62" Target="https://CRAN.R-project.org/package=janitor" TargetMode="External" /><Relationship Type="http://schemas.openxmlformats.org/officeDocument/2006/relationships/hyperlink" Id="rId82" Target="https://CRAN.R-project.org/package=kableExtra" TargetMode="External" /><Relationship Type="http://schemas.openxmlformats.org/officeDocument/2006/relationships/hyperlink" Id="rId80" Target="https://CRAN.R-project.org/package=patchwork" TargetMode="External" /><Relationship Type="http://schemas.openxmlformats.org/officeDocument/2006/relationships/hyperlink" Id="rId84" Target="https://CRAN.R-project.org/package=readxl" TargetMode="External" /><Relationship Type="http://schemas.openxmlformats.org/officeDocument/2006/relationships/hyperlink" Id="rId88" Target="https://CRAN.R-project.org/package=rworldmap" TargetMode="External" /><Relationship Type="http://schemas.openxmlformats.org/officeDocument/2006/relationships/hyperlink" Id="rId70" Target="https://CRAN.R-project.org/package=viridis" TargetMode="External" /><Relationship Type="http://schemas.openxmlformats.org/officeDocument/2006/relationships/hyperlink" Id="rId66" Target="https://CRAN.R-project.org/package=wbstats" TargetMode="External" /><Relationship Type="http://schemas.openxmlformats.org/officeDocument/2006/relationships/hyperlink" Id="rId74" Target="https://CRAN.R-project.org/package=wesanderson" TargetMode="External" /><Relationship Type="http://schemas.openxmlformats.org/officeDocument/2006/relationships/hyperlink" Id="rId28" Target="https://appsso.eurostat.ec.europa.eu/nui/show.do?dataset=env_ac_ainah_r2&amp;lang=en" TargetMode="External" /><Relationship Type="http://schemas.openxmlformats.org/officeDocument/2006/relationships/hyperlink" Id="rId99" Target="https://appsso.eurostat.ec.europa.eu/nui/show.do?dataset=lfst_hhnhtych&amp;lang=en" TargetMode="External" /><Relationship Type="http://schemas.openxmlformats.org/officeDocument/2006/relationships/hyperlink" Id="rId105" Target="https://doi.org/10.1080/09535314.2014.935298" TargetMode="External" /><Relationship Type="http://schemas.openxmlformats.org/officeDocument/2006/relationships/hyperlink" Id="rId97" Target="https://ec.europa.eu/eurostat/documents/54431/1966394/HBS2015_Transmission_DOC_V3.2018_05_22.pdf" TargetMode="External" /><Relationship Type="http://schemas.openxmlformats.org/officeDocument/2006/relationships/hyperlink" Id="rId103" Target="https://ec.europa.eu/eurostat/documents/54431/1966394/HBS_EU_QualityReport_2015.pdf/72d7e310-c415-7806-93cc-e3bc7a49b596" TargetMode="External" /><Relationship Type="http://schemas.openxmlformats.org/officeDocument/2006/relationships/hyperlink" Id="rId23" Target="https://ec.europa.eu/eurostat/web/household-budget-surveys/database" TargetMode="External" /><Relationship Type="http://schemas.openxmlformats.org/officeDocument/2006/relationships/hyperlink" Id="rId111" Target="https://econpapers.repec.org/article/eeeecolec/v_3a136_3ay_3a2017_3ai_3ac_3ap_3a62-72.htm" TargetMode="External" /><Relationship Type="http://schemas.openxmlformats.org/officeDocument/2006/relationships/hyperlink" Id="rId60" Target="https://joss.theoj.org/papers/10.21105/joss.01686" TargetMode="External" /><Relationship Type="http://schemas.openxmlformats.org/officeDocument/2006/relationships/hyperlink" Id="rId54" Target="https://onlinelibrary.wiley.com/doi/abs/10.1111/jiec.12715" TargetMode="External" /><Relationship Type="http://schemas.openxmlformats.org/officeDocument/2006/relationships/hyperlink" Id="rId118" Target="https://rdcu.be/SOJx" TargetMode="External" /><Relationship Type="http://schemas.openxmlformats.org/officeDocument/2006/relationships/hyperlink" Id="rId39" Target="https://stats.oecd.org/index.aspx?queryid=84864#" TargetMode="External" /><Relationship Type="http://schemas.openxmlformats.org/officeDocument/2006/relationships/hyperlink" Id="rId58" Target="https://www.R-project.org/" TargetMode="External" /><Relationship Type="http://schemas.openxmlformats.org/officeDocument/2006/relationships/hyperlink" Id="rId107" Target="https://www.cambridge.org/core/journals/global-sustainability/article/unequal-distribution-of-household-carbon-footprints-in-europe-and-its-link-to-sustainability/F1ED4F705AF1C6C1FCAD477398353DC2" TargetMode="External" /><Relationship Type="http://schemas.openxmlformats.org/officeDocument/2006/relationships/hyperlink" Id="rId122" Target="https://www.iiasa.ac.at/web-apps/ene/geadb/dsd?Action=htmlpage&amp;page=about" TargetMode="External" /><Relationship Type="http://schemas.openxmlformats.org/officeDocument/2006/relationships/hyperlink" Id="rId109" Target="https://www.oxfam.org/en/research/confronting-carbon-inequality-european-union" TargetMode="External" /><Relationship Type="http://schemas.openxmlformats.org/officeDocument/2006/relationships/hyperlink" Id="rId115" Target="https://www.sciencedirect.com/science/article/pii/S0921800916303494" TargetMode="External" /><Relationship Type="http://schemas.openxmlformats.org/officeDocument/2006/relationships/hyperlink" Id="rId30" Target="https://www.ssb.no/en/statbank/table/10986/" TargetMode="External" /><Relationship Type="http://schemas.openxmlformats.org/officeDocument/2006/relationships/hyperlink" Id="rId22"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energy and carbon inequality corridor for a 1.5°C compatible and just Europe: supplementary information</dc:title>
  <dc:creator>Ingram S. Jaccard1, Peter-Paul Pichler1, Johannes Többen1,3, and Helga Weisz1,2</dc:creator>
  <cp:keywords/>
  <dcterms:created xsi:type="dcterms:W3CDTF">2021-02-16T15:32:18Z</dcterms:created>
  <dcterms:modified xsi:type="dcterms:W3CDTF">2021-02-16T15:32:18Z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yes</vt:lpwstr>
  </property>
  <property fmtid="{D5CDD505-2E9C-101B-9397-08002B2CF9AE}" pid="3" name="bibliography">
    <vt:lpwstr>references.bib</vt:lpwstr>
  </property>
  <property fmtid="{D5CDD505-2E9C-101B-9397-08002B2CF9AE}" pid="4" name="content">
    <vt:lpwstr>35 pages, 13 tables, 7 figures</vt:lpwstr>
  </property>
  <property fmtid="{D5CDD505-2E9C-101B-9397-08002B2CF9AE}" pid="5" name="csl">
    <vt:lpwstr>../templates/vancouver.csl</vt:lpwstr>
  </property>
  <property fmtid="{D5CDD505-2E9C-101B-9397-08002B2CF9AE}" pid="6" name="output">
    <vt:lpwstr/>
  </property>
</Properties>
</file>