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37.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unit-of-analysis"/>
      <w:r>
        <w:t xml:space="preserve">Unit of analysis</w:t>
      </w:r>
      <w:bookmarkEnd w:id="36"/>
    </w:p>
    <w:p>
      <w:pPr>
        <w:pStyle w:val="FirstParagraph"/>
      </w:pPr>
      <w:r>
        <w:drawing>
          <wp:inline>
            <wp:extent cx="4587290" cy="3669832"/>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37"/>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38" w:name="alternative-method"/>
      <w:r>
        <w:t xml:space="preserve">Alternative method</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37" Target="media/rId37.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9"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9"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2021-02-01T14:24:17Z</dcterms:created>
  <dcterms:modified xsi:type="dcterms:W3CDTF">2021-02-01T14:24:17Z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