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0.png" ContentType="image/png"/>
  <Override PartName="/word/media/rId42.png" ContentType="image/png"/>
  <Override PartName="/word/media/rId44.png" ContentType="image/png"/>
  <Override PartName="/word/media/rId46.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title</w:t>
      </w:r>
      <w:r>
        <w:t xml:space="preserve"> </w:t>
      </w:r>
      <w:r>
        <w:t xml:space="preserv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p>
    <w:p>
      <w:pPr>
        <w:pStyle w:val="BodyText"/>
      </w:pPr>
      <w:r>
        <w:t xml:space="preserve">Content: x pages, x figures</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total</w:t>
      </w:r>
      <w:r>
        <w:t xml:space="preserve">’</w:t>
      </w:r>
      <w:r>
        <w:t xml:space="preserve"> </w:t>
      </w:r>
      <w:r>
        <w:t xml:space="preserve">intensities calculated in the EE-MRIO to estimate national income-stratified footprints. An EE-MRIO is used for estimating national footprints from final demand expenditure. Final demand expenditure on different production sectors, in monetary units, is multiplied by</w:t>
      </w:r>
      <w:r>
        <w:t xml:space="preserve"> </w:t>
      </w:r>
      <w:r>
        <w:t xml:space="preserve">‘</w:t>
      </w:r>
      <w:r>
        <w:t xml:space="preserve">total</w:t>
      </w:r>
      <w:r>
        <w:t xml:space="preserve">’</w:t>
      </w:r>
      <w:r>
        <w:t xml:space="preserve"> </w:t>
      </w:r>
      <w:r>
        <w:t xml:space="preserve">intensities per production sector to calculate the footprint (for one year). The</w:t>
      </w:r>
      <w:r>
        <w:t xml:space="preserve"> </w:t>
      </w:r>
      <w:r>
        <w:t xml:space="preserve">‘</w:t>
      </w:r>
      <w:r>
        <w:t xml:space="preserve">total</w:t>
      </w:r>
      <w:r>
        <w:t xml:space="preserve">’</w:t>
      </w:r>
      <w:r>
        <w:t xml:space="preserve"> </w:t>
      </w:r>
      <w:r>
        <w:t xml:space="preserve">intensities per production sector estimate the total physical amount of environmental extension, whether emissions, energy, etc., anywhere along the supply chain per monetary unit of final demand expenditure. In this way, the total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total</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(1)</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in the main paper, and data gaps and limitations. The final</w:t>
      </w:r>
      <w:r>
        <w:t xml:space="preserve"> </w:t>
      </w:r>
      <w:r>
        <w:t xml:space="preserve">‘</w:t>
      </w:r>
      <w:r>
        <w:t xml:space="preserve">supplementary materials and methods</w:t>
      </w:r>
      <w:r>
        <w:t xml:space="preserve">’</w:t>
      </w:r>
      <w:r>
        <w:t xml:space="preserve"> </w:t>
      </w:r>
      <w:r>
        <w:t xml:space="preserve">section presents an alternative methodology, and the final section of this supplementary information document presents supplementary results from the methodology used in the main paper and the alternative methodology.</w:t>
      </w:r>
    </w:p>
    <w:p>
      <w:pPr>
        <w:pStyle w:val="Heading2"/>
      </w:pPr>
      <w:bookmarkStart w:id="23" w:name="exiobase"/>
      <w:r>
        <w:t xml:space="preserve">EXIOBASE</w:t>
      </w:r>
      <w:bookmarkEnd w:id="23"/>
    </w:p>
    <w:p>
      <w:pPr>
        <w:pStyle w:val="FirstParagraph"/>
      </w:pPr>
      <w:r>
        <w:t xml:space="preserve">We use standard input-output calculations to calculate total intensity vectors in EXIOBASE</w:t>
      </w:r>
      <w:r>
        <w:t xml:space="preserve"> </w:t>
      </w:r>
      <w:r>
        <w:t xml:space="preserve">(4)</w:t>
      </w:r>
      <w:r>
        <w:t xml:space="preserve">. EXIOBASE publishes the A matrix, the final demand matrix, the satellite extensions matrix, and satellite extensions direct from final demand matrix. We use the industry by 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 total 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by income quintile according to the structure of the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satellite-extensions"/>
      <w:r>
        <w:t xml:space="preserve">Satellite extensions</w:t>
      </w:r>
      <w:bookmarkEnd w:id="24"/>
    </w:p>
    <w:p>
      <w:pPr>
        <w:pStyle w:val="FirstParagraph"/>
      </w:pPr>
      <w:r>
        <w:t xml:space="preserve">The satellite extensions we use are emissions of CO2-equivalence (in kilograms) and gross total energy use (in terajoules). We create the CO2-equivalence extension by summing together CO2, CH4, N2O, SF6, HFCs, and PFCs, from combustion, noncombustion, agriculture and waste. We use Global Warming Potential (GWP) values for a 100-year time horizon taken from the IPCC Fifth Assessment Report</w:t>
      </w:r>
      <w:r>
        <w:t xml:space="preserve"> </w:t>
      </w:r>
      <w:r>
        <w:t xml:space="preserve">(5)</w:t>
      </w:r>
      <w:r>
        <w:t xml:space="preserve">: 28 for CH4, 265 for N2O and 23500 for SF6 (HFCs and PFCs are in CO2-equivalence already in the EXIOBASE satellite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IEA energy balance data from the territorial to residence principle following SEEA energy accounting. In their Supporting Information 2, Stadler et al. (2018)</w:t>
      </w:r>
      <w:r>
        <w:t xml:space="preserve"> </w:t>
      </w:r>
      <w:r>
        <w:t xml:space="preserve">(1)</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use categories. This affects four transportation types: international air transport (deliveries from international aviation bunkers), international maritime transport (deliveries from international marine bunkers), fishing, and international road transport. 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5" w:name="Xc41d51128551b13356aa7c8db2f59c4b7980dfe"/>
      <w:r>
        <w:t xml:space="preserve">Satellite extensions direct from final demand</w:t>
      </w:r>
      <w:bookmarkEnd w:id="25"/>
    </w:p>
    <w:p>
      <w:pPr>
        <w:pStyle w:val="FirstParagraph"/>
      </w:pPr>
      <w:r>
        <w:t xml:space="preserve">For CO2-equivalence emissions and energy use direct from household final demand,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(6)</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6">
        <w:r>
          <w:rPr>
            <w:rStyle w:val="Hyperlink"/>
          </w:rPr>
          <w:t xml:space="preserve">http://appsso.eurostat.ec.europa.eu/nui/show.do?dataset=env_ac_pefasu</w:t>
        </w:r>
      </w:hyperlink>
      <w:r>
        <w:t xml:space="preserve"> </w:t>
      </w:r>
      <w:r>
        <w:t xml:space="preserve">[accessed on 03.06.2020].</w:t>
      </w:r>
      <w:r>
        <w:t xml:space="preserve"> </w:t>
      </w:r>
      <w:r>
        <w:t xml:space="preserve">(7)</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7">
        <w:r>
          <w:rPr>
            <w:rStyle w:val="Hyperlink"/>
          </w:rPr>
          <w:t xml:space="preserve">https://appsso.eurostat.ec.europa.eu/nui/show.do?dataset=env_ac_ainah_r2&amp;lang=en</w:t>
        </w:r>
      </w:hyperlink>
      <w:r>
        <w:t xml:space="preserve"> </w:t>
      </w:r>
      <w:r>
        <w:t xml:space="preserve">[accessed on 03.06.2020].</w:t>
      </w:r>
      <w:r>
        <w:t xml:space="preserve"> </w:t>
      </w:r>
      <w:r>
        <w:t xml:space="preserve">(8)</w:t>
      </w:r>
    </w:p>
    <w:p>
      <w:pPr>
        <w:pStyle w:val="Heading2"/>
      </w:pPr>
      <w:bookmarkStart w:id="28" w:name="eurostat-hbs"/>
      <w:r>
        <w:t xml:space="preserve">EUROSTAT HBS</w:t>
      </w:r>
      <w:bookmarkEnd w:id="28"/>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 (PPS) per year, country and income quintile, in two possible units; per household and per adult equivalent. Purchasing power standard (PPS) is a currency measure that adjusts the euro for national price-level differences. The income quintiles are determined by household, ie. all households in the sample are ranked by income and evenly distributed into five quintiles, thus there are the same number of households in each income quintile. Per adult equivalent unit,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(9)</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only a few with level 3. For the current analysis, we select our own mix of COICOP level 1 and 2. We use COICOP level 1, except for the categories of food (CP01), housing (CP04) and transport (CP07), where we use level 2. This is primarily because of the diversity of level 2 categories within those aggregate level 1 categories. This is most clearly seen in the housing category, where, at level 2, housing is broken down into:</w:t>
      </w:r>
      <w:r>
        <w:t xml:space="preserve"> </w:t>
      </w:r>
      <w:r>
        <w:t xml:space="preserve">‘</w:t>
      </w:r>
      <w:r>
        <w:t xml:space="preserve">Actual rent</w:t>
      </w:r>
      <w:r>
        <w:t xml:space="preserve">’</w:t>
      </w:r>
      <w:r>
        <w:t xml:space="preserve"> </w:t>
      </w:r>
      <w:r>
        <w:t xml:space="preserve">(CP041),</w:t>
      </w:r>
      <w:r>
        <w:t xml:space="preserve"> </w:t>
      </w:r>
      <w:r>
        <w:t xml:space="preserve">‘</w:t>
      </w:r>
      <w:r>
        <w:t xml:space="preserve">Imputed rent</w:t>
      </w:r>
      <w:r>
        <w:t xml:space="preserve">’</w:t>
      </w:r>
      <w:r>
        <w:t xml:space="preserve"> </w:t>
      </w:r>
      <w:r>
        <w:t xml:space="preserve">(CP042),</w:t>
      </w:r>
      <w:r>
        <w:t xml:space="preserve"> </w:t>
      </w:r>
      <w:r>
        <w:t xml:space="preserve">‘</w:t>
      </w:r>
      <w:r>
        <w:t xml:space="preserve">Maintenance and repair</w:t>
      </w:r>
      <w:r>
        <w:t xml:space="preserve">’</w:t>
      </w:r>
      <w:r>
        <w:t xml:space="preserve"> </w:t>
      </w:r>
      <w:r>
        <w:t xml:space="preserve">(CP043),</w:t>
      </w:r>
      <w:r>
        <w:t xml:space="preserve"> </w:t>
      </w:r>
      <w:r>
        <w:t xml:space="preserve">‘</w:t>
      </w:r>
      <w:r>
        <w:t xml:space="preserve">Water</w:t>
      </w:r>
      <w:r>
        <w:t xml:space="preserve">’</w:t>
      </w:r>
      <w:r>
        <w:t xml:space="preserve"> </w:t>
      </w:r>
      <w:r>
        <w:t xml:space="preserve">(CP044), and</w:t>
      </w:r>
      <w:r>
        <w:t xml:space="preserve"> </w:t>
      </w:r>
      <w:r>
        <w:t xml:space="preserve">‘</w:t>
      </w:r>
      <w:r>
        <w:t xml:space="preserve">Electricity</w:t>
      </w:r>
      <w:r>
        <w:t xml:space="preserve">’</w:t>
      </w:r>
      <w:r>
        <w:t xml:space="preserve"> </w:t>
      </w:r>
      <w:r>
        <w:t xml:space="preserve">(CP045) (GET PROPER NAMES IN HERE).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We do not take COICOP level 2 across all consumption categories, however, because there are a few COICOP categories that are more disaggregated than in EXIOBASE (EXPLAIN THIS BETTER). The COICOP consumption categories we thus use are: CP011, CP012, CP02, CP03,</w:t>
      </w:r>
      <w:r>
        <w:t xml:space="preserve"> </w:t>
      </w:r>
      <w:r>
        <w:t xml:space="preserve">‘</w:t>
      </w:r>
      <w:r>
        <w:t xml:space="preserve">rent</w:t>
      </w:r>
      <w:r>
        <w:t xml:space="preserve">’</w:t>
      </w:r>
      <w:r>
        <w:t xml:space="preserve"> </w:t>
      </w:r>
      <w:r>
        <w:t xml:space="preserve">(we collapse CP041 with CP042), CP043, CP044, CP045, CP05, CP06, CP071, CP072, CP073, CP08, CP09, CP10, CP11, CP12 (INCLUDE NAMES).</w:t>
      </w:r>
    </w:p>
    <w:p>
      <w:pPr>
        <w:pStyle w:val="BodyText"/>
      </w:pPr>
      <w:r>
        <w:t xml:space="preserve">National footprints are often expressed in per capita terms; the national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In order to express our footprint estimates per household, we need the total number of private households in each country and year. In order to adjust our footprint estimates for household size, we need the average adult equivalent units per household in each country, year and income quintile, or alternatively, national population in adult equivalent units (using the same scale as the HBS). Additional data tables are needed for the total number of private households in each country and year. We use:</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r>
        <w:t xml:space="preserve"> </w:t>
      </w:r>
      <w:r>
        <w:t xml:space="preserve">(10)</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29">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(11)</w:t>
      </w:r>
    </w:p>
    <w:p>
      <w:pPr>
        <w:pStyle w:val="Heading2"/>
      </w:pPr>
      <w:bookmarkStart w:id="30" w:name="method-for-main-paper-results"/>
      <w:r>
        <w:t xml:space="preserve">Method for main paper results</w:t>
      </w:r>
      <w:bookmarkEnd w:id="30"/>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 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total</w:t>
      </w:r>
      <w:r>
        <w:t xml:space="preserve">’</w:t>
      </w:r>
      <w:r>
        <w:t xml:space="preserve"> </w:t>
      </w:r>
      <w:r>
        <w:t xml:space="preserve">intensity for that production sector. We present the alternative method and some results in the last sections of this document. (Oswald et al. (2020)</w:t>
      </w:r>
      <w:r>
        <w:t xml:space="preserve"> </w:t>
      </w:r>
      <w:r>
        <w:t xml:space="preserve">(12)</w:t>
      </w:r>
      <w:r>
        <w:t xml:space="preserve"> </w:t>
      </w:r>
      <w:r>
        <w:t xml:space="preserve">discuss their use of a third option in between these two, where they recalculate intensities using HBS expenditure, still estimating different total footprints than the non-decomposed footprint but with good agreement between the two). In this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Compact"/>
      </w:pPr>
      <w:r>
        <w:t xml:space="preserve">Table 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Compact"/>
      </w:pPr>
      <w:r>
        <w:t xml:space="preserve">Table 2: 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861"/>
        <w:gridCol w:w="861"/>
        <w:gridCol w:w="861"/>
        <w:gridCol w:w="861"/>
        <w:gridCol w:w="861"/>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BodyText"/>
      </w:pPr>
      <w:r>
        <w:t xml:space="preserve">Step 3) Once the EE-MRIO household final demand expenditure is decomposed by income quintile, it is multiplied by the EE-MRIO total 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 total intensity vector (</w:t>
      </w:r>
      <w:r>
        <w:t xml:space="preserve">‘</w:t>
      </w:r>
      <w:r>
        <w:t xml:space="preserve">TIV</w:t>
      </w:r>
      <w:r>
        <w:t xml:space="preserve">’</w:t>
      </w:r>
      <w:r>
        <w:t xml:space="preserve">).</w:t>
      </w:r>
    </w:p>
    <w:p>
      <w:pPr>
        <w:pStyle w:val="Compact"/>
      </w:pPr>
      <w:r>
        <w:t xml:space="preserve">Table 3: Calculation of EE-MRIO household footprint decomposed by income quintile, through multiplication of EE-MRIO household final demand expenditure per income quintile and sector by the total intensity vector (TIV) calculated in the EE-MRIO (with only one total 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1311"/>
        <w:gridCol w:w="624"/>
        <w:gridCol w:w="624"/>
        <w:gridCol w:w="624"/>
        <w:gridCol w:w="624"/>
        <w:gridCol w:w="624"/>
        <w:gridCol w:w="446"/>
        <w:gridCol w:w="624"/>
        <w:gridCol w:w="624"/>
        <w:gridCol w:w="624"/>
        <w:gridCol w:w="624"/>
        <w:gridCol w:w="624"/>
        <w:gridCol w:w="806"/>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total fp</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320</w:t>
            </w:r>
          </w:p>
        </w:tc>
      </w:tr>
    </w:tbl>
    <w:p>
      <w:pPr>
        <w:pStyle w:val="Heading2"/>
      </w:pPr>
      <w:bookmarkStart w:id="31" w:name="X5a317650670242e320f8b269c838ae48be4f85a"/>
      <w:r>
        <w:t xml:space="preserve">Mapping between EXIOBASE and EUROSTAT HBS</w:t>
      </w:r>
      <w:bookmarkEnd w:id="31"/>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Compact"/>
      </w:pPr>
      <w:r>
        <w:t xml:space="preserve">Table 4: Mapping EXIOBASE industry production sectors to COICOP consumption categories and 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2"/>
      </w:pPr>
      <w:bookmarkStart w:id="32" w:name="country-and-year-coverage"/>
      <w:r>
        <w:t xml:space="preserve">Country and year coverage</w:t>
      </w:r>
      <w:bookmarkEnd w:id="32"/>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care must be taken, especially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Compact"/>
      </w:pPr>
      <w:r>
        <w:t xml:space="preserve">Table 5: Country and year coverage between EXIOBASE and the EUROSTAT HBS.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2"/>
      </w:pPr>
      <w:bookmarkStart w:id="33" w:name="limitations"/>
      <w:r>
        <w:t xml:space="preserve">Limitations</w:t>
      </w:r>
      <w:bookmarkEnd w:id="33"/>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(13)</w:t>
      </w:r>
      <w:r>
        <w:t xml:space="preserve">. Some types of households may also be excluded from the samples, including super-rich households, for example Germany, which excludes households with over €18,000 monthly net income</w:t>
      </w:r>
      <w:r>
        <w:t xml:space="preserve"> </w:t>
      </w:r>
      <w:r>
        <w:t xml:space="preserve">(13)</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(13)</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 industry-by-industry), but there are well known limitations when using and selecting an EE-MRIO</w:t>
      </w:r>
      <w:r>
        <w:t xml:space="preserve"> </w:t>
      </w:r>
      <w:r>
        <w:t xml:space="preserve">(14)</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total</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Compact"/>
      </w:pPr>
      <w:r>
        <w:t xml:space="preserve">Table 6: 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Compact"/>
      </w:pPr>
      <w:r>
        <w:t xml:space="preserve">Table 7: Quintile shares per sector in base price, with new</w:t>
      </w:r>
      <w:r>
        <w:t xml:space="preserve"> </w:t>
      </w:r>
      <w:r>
        <w:t xml:space="preserve">‘</w:t>
      </w:r>
      <w:r>
        <w:t xml:space="preserve">pps hh</w:t>
      </w:r>
      <w:r>
        <w:t xml:space="preserve">’</w:t>
      </w:r>
      <w:r>
        <w:t xml:space="preserve"> </w:t>
      </w:r>
      <w: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954"/>
        <w:gridCol w:w="1315"/>
        <w:gridCol w:w="1374"/>
        <w:gridCol w:w="1315"/>
        <w:gridCol w:w="1374"/>
        <w:gridCol w:w="1032"/>
        <w:gridCol w:w="103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889</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824</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750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667</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Compact"/>
      </w:pPr>
      <w:r>
        <w:t xml:space="preserve">Table 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94"/>
        <w:gridCol w:w="996"/>
        <w:gridCol w:w="996"/>
        <w:gridCol w:w="996"/>
        <w:gridCol w:w="996"/>
        <w:gridCol w:w="996"/>
        <w:gridCol w:w="1055"/>
        <w:gridCol w:w="521"/>
        <w:gridCol w:w="521"/>
        <w:gridCol w:w="521"/>
        <w:gridCol w:w="521"/>
        <w:gridCol w:w="521"/>
      </w:tblGrid>
      <w:tr>
        <w:trPr>
          <w:cantSplit/>
          <w:trHeight w:val="29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fd</w:t>
            </w:r>
          </w:p>
        </w:tc>
      </w:tr>
      <w:tr>
        <w:trPr>
          <w:cantSplit/>
          <w:trHeight w:val="26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132</w:t>
            </w:r>
          </w:p>
        </w:tc>
      </w:tr>
      <w:tr>
        <w:trPr>
          <w:cantSplit/>
          <w:trHeight w:val="26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208</w:t>
            </w:r>
          </w:p>
        </w:tc>
      </w:tr>
    </w:tbl>
    <w:p>
      <w:pPr>
        <w:pStyle w:val="Heading2"/>
      </w:pPr>
      <w:bookmarkStart w:id="35" w:name="european-expenditure-deciles"/>
      <w:r>
        <w:t xml:space="preserve">European expenditure deciles</w:t>
      </w:r>
      <w:bookmarkEnd w:id="35"/>
    </w:p>
    <w:p>
      <w:pPr>
        <w:pStyle w:val="FirstParagraph"/>
      </w:pPr>
      <w:r>
        <w:t xml:space="preserve">Here we aggregated the data of 28 European countries with 5 income groups each into 10 European expenditure groups, to decompose the total European household energy and carbon footprint by European expenditure decile, ranking each national income group according to their mean consumption expenditure in PPS euros. We call these European expenditure deciles, although only countries with EUROSTAT HBS data from 2005 to 2015 are included, which excludes Italy and Luxembourg, but includes the UK, Norway and Turkey.</w:t>
      </w:r>
    </w:p>
    <w:p>
      <w:pPr>
        <w:pStyle w:val="Heading2"/>
      </w:pPr>
      <w:bookmarkStart w:id="36" w:name="alternative-method"/>
      <w:r>
        <w:t xml:space="preserve">Alternative method</w:t>
      </w:r>
      <w:bookmarkEnd w:id="36"/>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 total 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7">
        <w:r>
          <w:rPr>
            <w:rStyle w:val="Hyperlink"/>
          </w:rPr>
          <w:t xml:space="preserve">https://stats.oecd.org/index.aspx?queryid=84864#</w:t>
        </w:r>
      </w:hyperlink>
      <w:r>
        <w:t xml:space="preserve"> </w:t>
      </w:r>
      <w:r>
        <w:t xml:space="preserve">(15)</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Compact"/>
      </w:pPr>
      <w:r>
        <w:t xml:space="preserve">Table 9: 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09"/>
        <w:gridCol w:w="565"/>
        <w:gridCol w:w="624"/>
        <w:gridCol w:w="624"/>
        <w:gridCol w:w="836"/>
        <w:gridCol w:w="1658"/>
        <w:gridCol w:w="1026"/>
        <w:gridCol w:w="836"/>
        <w:gridCol w:w="1658"/>
        <w:gridCol w:w="1026"/>
      </w:tblGrid>
      <w:tr>
        <w:trPr>
          <w:cantSplit/>
          <w:trHeight w:val="280"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bp_share_in_pp_sector_1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bp_share_in_pp_sector_2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(pps hh bp)</w:t>
            </w:r>
          </w:p>
        </w:tc>
      </w:tr>
      <w:tr>
        <w:trPr>
          <w:cantSplit/>
          <w:trHeight w:val="27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r>
      <w:tr>
        <w:trPr>
          <w:cantSplit/>
          <w:trHeight w:val="2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9.1</w:t>
            </w:r>
          </w:p>
        </w:tc>
      </w:tr>
      <w:tr>
        <w:trPr>
          <w:cantSplit/>
          <w:trHeight w:val="2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r>
      <w:tr>
        <w:trPr>
          <w:cantSplit/>
          <w:trHeight w:val="27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r>
      <w:tr>
        <w:trPr>
          <w:cantSplit/>
          <w:trHeight w:val="272"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16.0</w:t>
            </w:r>
          </w:p>
        </w:tc>
      </w:tr>
    </w:tbl>
    <w:p>
      <w:pPr>
        <w:pStyle w:val="Compact"/>
      </w:pPr>
      <w:r>
        <w:t xml:space="preserve">Table 10: Income quintile shares per sector in base price, with new</w:t>
      </w:r>
      <w:r>
        <w:t xml:space="preserve"> </w:t>
      </w:r>
      <w:r>
        <w:t xml:space="preserve">‘</w:t>
      </w:r>
      <w:r>
        <w:t xml:space="preserve">pps hh</w:t>
      </w:r>
      <w:r>
        <w:t xml:space="preserve">’</w:t>
      </w:r>
      <w:r>
        <w:t xml:space="preserve"> </w:t>
      </w:r>
      <w:r>
        <w:t xml:space="preserve">per income quintile in base price and new sectoral pm values in base price (</w:t>
      </w:r>
      <w:r>
        <w:t xml:space="preserve">‘</w:t>
      </w:r>
      <w:r>
        <w:t xml:space="preserve">pps hh bp</w:t>
      </w:r>
      <w:r>
        <w:t xml:space="preserve">’</w:t>
      </w:r>
      <w:r>
        <w:t xml:space="preserve"> </w:t>
      </w:r>
      <w:r>
        <w:t xml:space="preserve">is the sum of</w:t>
      </w:r>
      <w:r>
        <w:t xml:space="preserv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Compact"/>
      </w:pPr>
      <w:r>
        <w:t xml:space="preserve">Table 11: 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decomposed by income quintile.</w:t>
      </w:r>
    </w:p>
    <w:p>
      <w:pPr>
        <w:pStyle w:val="Compact"/>
      </w:pPr>
      <w:r>
        <w:t xml:space="preserve">Table 12: 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52"/>
        <w:gridCol w:w="1152"/>
        <w:gridCol w:w="1152"/>
        <w:gridCol w:w="1152"/>
        <w:gridCol w:w="1152"/>
        <w:gridCol w:w="1152"/>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 total 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 total intensity vector as previously calculated inside the EE-MRIO (compare Table S13 with Table S3).</w:t>
      </w:r>
    </w:p>
    <w:p>
      <w:pPr>
        <w:pStyle w:val="Compact"/>
      </w:pPr>
      <w:r>
        <w:t xml:space="preserve">Table 13: 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1581"/>
      </w:tblGrid>
      <w:tr>
        <w:trPr>
          <w:cantSplit/>
          <w:trHeight w:val="35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total_footprint</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38" w:name="supplementary-results"/>
      <w:r>
        <w:t xml:space="preserve">Supplementary Results</w:t>
      </w:r>
      <w:bookmarkEnd w:id="38"/>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39" w:name="X8d75558b19c1f4ada8a7ee00925afcbe8652b35"/>
      <w:r>
        <w:t xml:space="preserve">2005 using main method, EXIOBASE industry-by-industry</w:t>
      </w:r>
      <w:bookmarkEnd w:id="39"/>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w:t>
      </w:r>
      <w:r>
        <w:t xml:space="preserve">10^{4}€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0"/>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1" w:name="X6d0fbaa5f45806da251547b50375281c1325abb"/>
      <w:r>
        <w:t xml:space="preserve">2010 using main method, EXIOBASE industry-by-industry</w:t>
      </w:r>
      <w:bookmarkEnd w:id="41"/>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w:t>
      </w:r>
      <w:r>
        <w:t xml:space="preserve">10^{4}€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3" w:name="Xa524caf697d4adaad7fcac9faec7b6d79794f21"/>
      <w:r>
        <w:t xml:space="preserve">2010 using main method, EXIOBASE product-by-product</w:t>
      </w:r>
      <w:bookmarkEnd w:id="43"/>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w:t>
      </w:r>
      <w:r>
        <w:t xml:space="preserve">10^{4}€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5" w:name="Xb0ae8b1959b15b13866be8149136e915543cac5"/>
      <w:r>
        <w:t xml:space="preserve">2015 using alternative method, EXIOBASE industry-by-industry</w:t>
      </w:r>
      <w:bookmarkEnd w:id="45"/>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r>
        <w:br w:type="page"/>
      </w:r>
    </w:p>
    <w:p>
      <w:pPr>
        <w:pStyle w:val="Heading1"/>
      </w:pPr>
      <w:bookmarkStart w:id="47" w:name="references"/>
      <w:r>
        <w:t xml:space="preserve">References</w:t>
      </w:r>
      <w:bookmarkEnd w:id="47"/>
    </w:p>
    <w:bookmarkStart w:id="70" w:name="refs"/>
    <w:bookmarkStart w:id="49"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48">
        <w:r>
          <w:rPr>
            <w:rStyle w:val="Hyperlink"/>
          </w:rPr>
          <w:t xml:space="preserve">https://onlinelibrary.wiley.com/doi/abs/10.1111/jiec.12715</w:t>
        </w:r>
      </w:hyperlink>
    </w:p>
    <w:bookmarkEnd w:id="49"/>
    <w:bookmarkStart w:id="50" w:name="ref-stadler_exiobase_2019"/>
    <w:p>
      <w:pPr>
        <w:pStyle w:val="Bibliography"/>
      </w:pPr>
      <w:r>
        <w:t xml:space="preserve">2. Stadler K, Wood R, Bulavskaya T, Södersten C-J, Simas M, Schmidt S, et al. EXIOBASE 3 [Internet]. Zenodo; 2019 [cited 2021 Jan 20]. Available from:</w:t>
      </w:r>
      <w:r>
        <w:t xml:space="preserve"> </w:t>
      </w:r>
      <w:hyperlink r:id="rId21">
        <w:r>
          <w:rPr>
            <w:rStyle w:val="Hyperlink"/>
          </w:rPr>
          <w:t xml:space="preserve">https://zenodo.org/record/3583071#.XjC7kSN4wpY</w:t>
        </w:r>
      </w:hyperlink>
    </w:p>
    <w:bookmarkEnd w:id="50"/>
    <w:bookmarkStart w:id="51" w:name="ref-eurostat_database_nodate"/>
    <w:p>
      <w:pPr>
        <w:pStyle w:val="Bibliography"/>
      </w:pPr>
      <w:r>
        <w:t xml:space="preserve">3. Eurostat. Database - Household budget surveys - Eurostat [Internet]. [cited 2021 Jan 20]. Available from:</w:t>
      </w:r>
      <w:r>
        <w:t xml:space="preserve"> </w:t>
      </w:r>
      <w:hyperlink r:id="rId22">
        <w:r>
          <w:rPr>
            <w:rStyle w:val="Hyperlink"/>
          </w:rPr>
          <w:t xml:space="preserve">https://ec.europa.eu/eurostat/web/household-budget-surveys/database</w:t>
        </w:r>
      </w:hyperlink>
    </w:p>
    <w:bookmarkEnd w:id="51"/>
    <w:bookmarkStart w:id="52" w:name="ref-miller_input-output_1985"/>
    <w:p>
      <w:pPr>
        <w:pStyle w:val="Bibliography"/>
      </w:pPr>
      <w:r>
        <w:t xml:space="preserve">4. Miller RE, Blair PD. Input-output analysis: Foundations and extensions. Englewood Cliffs, N.J: Prentice-Hall; 1985.</w:t>
      </w:r>
      <w:r>
        <w:t xml:space="preserve"> </w:t>
      </w:r>
    </w:p>
    <w:bookmarkEnd w:id="52"/>
    <w:bookmarkStart w:id="53" w:name="ref-myhre_g._anthropogenic_2013"/>
    <w:p>
      <w:pPr>
        <w:pStyle w:val="Bibliography"/>
      </w:pPr>
      <w:r>
        <w:t xml:space="preserve">5.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53"/>
    <w:bookmarkStart w:id="54" w:name="ref-eurostat_manual_2015"/>
    <w:p>
      <w:pPr>
        <w:pStyle w:val="Bibliography"/>
      </w:pPr>
      <w:r>
        <w:t xml:space="preserve">6. Eurostat. Manual for air emission accounts. 2015.</w:t>
      </w:r>
      <w:r>
        <w:t xml:space="preserve"> </w:t>
      </w:r>
    </w:p>
    <w:bookmarkEnd w:id="54"/>
    <w:bookmarkStart w:id="55" w:name="ref-eurostat_eurostat_2020"/>
    <w:p>
      <w:pPr>
        <w:pStyle w:val="Bibliography"/>
      </w:pPr>
      <w:r>
        <w:t xml:space="preserve">7. Eurostat. Eurostat - Data Explorer - Energy supply and use by NACE Rev. 2 activity [Internet]. 2020 [cited 2020 Aug 11]. Available from:</w:t>
      </w:r>
      <w:r>
        <w:t xml:space="preserve"> </w:t>
      </w:r>
      <w:hyperlink r:id="rId26">
        <w:r>
          <w:rPr>
            <w:rStyle w:val="Hyperlink"/>
          </w:rPr>
          <w:t xml:space="preserve">http://appsso.eurostat.ec.europa.eu/nui/show.do?dataset=env_ac_pefasu</w:t>
        </w:r>
      </w:hyperlink>
    </w:p>
    <w:bookmarkEnd w:id="55"/>
    <w:bookmarkStart w:id="56" w:name="ref-eurostat_eurostat_nodate"/>
    <w:p>
      <w:pPr>
        <w:pStyle w:val="Bibliography"/>
      </w:pPr>
      <w:r>
        <w:t xml:space="preserve">8. Eurostat. Eurostat - Data Explorer - Air emissions accounts by NACE Rev. 2 activity [Internet]. [cited 2021 Jan 20]. Available from:</w:t>
      </w:r>
      <w:r>
        <w:t xml:space="preserve"> </w:t>
      </w:r>
      <w:hyperlink r:id="rId27">
        <w:r>
          <w:rPr>
            <w:rStyle w:val="Hyperlink"/>
          </w:rPr>
          <w:t xml:space="preserve">https://appsso.eurostat.ec.europa.eu/nui/show.do?dataset=env_ac_ainah_r2&amp;lang=en</w:t>
        </w:r>
      </w:hyperlink>
    </w:p>
    <w:bookmarkEnd w:id="56"/>
    <w:bookmarkStart w:id="58" w:name="ref-eurostat_description_2016"/>
    <w:p>
      <w:pPr>
        <w:pStyle w:val="Bibliography"/>
      </w:pPr>
      <w:r>
        <w:t xml:space="preserve">9. Eurostat. Description of the data transmission for the Household Budget Survey (HBS) for the Reference Year 2015 Version: 3 [Internet]. 2016. Available from:</w:t>
      </w:r>
      <w:r>
        <w:t xml:space="preserve"> </w:t>
      </w:r>
      <w:hyperlink r:id="rId57">
        <w:r>
          <w:rPr>
            <w:rStyle w:val="Hyperlink"/>
          </w:rPr>
          <w:t xml:space="preserve">https://ec.europa.eu/eurostat/documents/54431/1966394/HBS2015_Transmission_DOC_V3.2018_05_22.pdf</w:t>
        </w:r>
      </w:hyperlink>
    </w:p>
    <w:bookmarkEnd w:id="58"/>
    <w:bookmarkStart w:id="60" w:name="ref-eurostat_eurostat_nodate-1"/>
    <w:p>
      <w:pPr>
        <w:pStyle w:val="Bibliography"/>
      </w:pPr>
      <w:r>
        <w:t xml:space="preserve">10. Eurostat. Eurostat - Data Explorer - Number of private households by household composition, number of children and age of youngest child (1 000) [Internet]. [cited 2021 Jan 20]. Available from:</w:t>
      </w:r>
      <w:r>
        <w:t xml:space="preserve"> </w:t>
      </w:r>
      <w:hyperlink r:id="rId59">
        <w:r>
          <w:rPr>
            <w:rStyle w:val="Hyperlink"/>
          </w:rPr>
          <w:t xml:space="preserve">https://appsso.eurostat.ec.europa.eu/nui/show.do?dataset=lfst_hhnhtych&amp;lang=en</w:t>
        </w:r>
      </w:hyperlink>
    </w:p>
    <w:bookmarkEnd w:id="60"/>
    <w:bookmarkStart w:id="62" w:name="ref-statistics_norway_10986:_nodate"/>
    <w:p>
      <w:pPr>
        <w:pStyle w:val="Bibliography"/>
      </w:pPr>
      <w:r>
        <w:t xml:space="preserve">11. Statistics Norway. 10986: Private households and persons in private households, by type of household (C) 2005 - 2020 [Internet]. PX-Web SSB. [cited 2021 Jan 20]. Available from:</w:t>
      </w:r>
      <w:r>
        <w:t xml:space="preserve"> </w:t>
      </w:r>
      <w:hyperlink r:id="rId61">
        <w:r>
          <w:rPr>
            <w:rStyle w:val="Hyperlink"/>
          </w:rPr>
          <w:t xml:space="preserve">http://www.ssb.no/en/statbanken/statbank/table/10986/</w:t>
        </w:r>
      </w:hyperlink>
    </w:p>
    <w:bookmarkEnd w:id="62"/>
    <w:bookmarkStart w:id="64" w:name="ref-oswald_large_2020"/>
    <w:p>
      <w:pPr>
        <w:pStyle w:val="Bibliography"/>
      </w:pPr>
      <w:r>
        <w:t xml:space="preserve">12. Oswald Y, Owen A, Steinberger JK. Large inequality in international and intranational energy footprints between income groups and across consumption categories. Nature Energy [Internet]. 2020 Mar [cited 2020 Apr 1];5(3):231–9. Available from:</w:t>
      </w:r>
      <w:r>
        <w:t xml:space="preserve"> </w:t>
      </w:r>
      <w:hyperlink r:id="rId63">
        <w:r>
          <w:rPr>
            <w:rStyle w:val="Hyperlink"/>
          </w:rPr>
          <w:t xml:space="preserve">https://www.nature.com/articles/s41560-020-0579-8</w:t>
        </w:r>
      </w:hyperlink>
    </w:p>
    <w:bookmarkEnd w:id="64"/>
    <w:bookmarkStart w:id="66" w:name="ref-eurostat_eu_2020"/>
    <w:p>
      <w:pPr>
        <w:pStyle w:val="Bibliography"/>
      </w:pPr>
      <w:r>
        <w:t xml:space="preserve">13. Eurostat. EU Quality Report of the Household Budget Survey 2015 Wave [Internet]. 2020. Available from:</w:t>
      </w:r>
      <w:r>
        <w:t xml:space="preserve"> </w:t>
      </w:r>
      <w:hyperlink r:id="rId65">
        <w:r>
          <w:rPr>
            <w:rStyle w:val="Hyperlink"/>
          </w:rPr>
          <w:t xml:space="preserve">https://ec.europa.eu/eurostat/documents/54431/1966394/HBS_EU_QualityReport_2015.pdf/72d7e310-c415-7806-93cc-e3bc7a49b596</w:t>
        </w:r>
      </w:hyperlink>
    </w:p>
    <w:bookmarkEnd w:id="66"/>
    <w:bookmarkStart w:id="68" w:name="ref-moran_convergence_2014"/>
    <w:p>
      <w:pPr>
        <w:pStyle w:val="Bibliography"/>
      </w:pPr>
      <w:r>
        <w:t xml:space="preserve">14. Moran D, Wood R. Convergence Between the Eora, Wiod, Exiobase, and Openeu’s Consumption-Based Carbon Accounts. Economic Systems Research [Internet]. 2014 Jul [cited 2018 Aug 15];26(3):245–61. Available from:</w:t>
      </w:r>
      <w:r>
        <w:t xml:space="preserve"> </w:t>
      </w:r>
      <w:hyperlink r:id="rId67">
        <w:r>
          <w:rPr>
            <w:rStyle w:val="Hyperlink"/>
          </w:rPr>
          <w:t xml:space="preserve">https://doi.org/10.1080/09535314.2014.935298</w:t>
        </w:r>
      </w:hyperlink>
    </w:p>
    <w:bookmarkEnd w:id="68"/>
    <w:bookmarkStart w:id="69" w:name="ref-oecd_sut_nodate"/>
    <w:p>
      <w:pPr>
        <w:pStyle w:val="Bibliography"/>
      </w:pPr>
      <w:r>
        <w:t xml:space="preserve">15. OECD. SUT Indicators : Trade and transport margins in percentage of total supply at purchasers’ prices [Internet]. [cited 2021 Jan 20]. Available from:</w:t>
      </w:r>
      <w:r>
        <w:t xml:space="preserve"> </w:t>
      </w:r>
      <w:hyperlink r:id="rId37">
        <w:r>
          <w:rPr>
            <w:rStyle w:val="Hyperlink"/>
          </w:rPr>
          <w:t xml:space="preserve">https://stats.oecd.org/index.aspx?queryid=84864#</w:t>
        </w:r>
      </w:hyperlink>
    </w:p>
    <w:bookmarkEnd w:id="69"/>
    <w:bookmarkEnd w:id="70"/>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0" Target="media/rId40.png"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hyperlink" Id="rId26" Target="http://appsso.eurostat.ec.europa.eu/nui/show.do?dataset=env_ac_pefasu" TargetMode="External" /><Relationship Type="http://schemas.openxmlformats.org/officeDocument/2006/relationships/hyperlink" Id="rId61" Target="http://www.ssb.no/en/statbanken/statbank/table/10986/"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59" Target="https://appsso.eurostat.ec.europa.eu/nui/show.do?dataset=lfst_hhnhtych&amp;lang=en" TargetMode="External" /><Relationship Type="http://schemas.openxmlformats.org/officeDocument/2006/relationships/hyperlink" Id="rId67" Target="https://doi.org/10.1080/09535314.2014.935298" TargetMode="External" /><Relationship Type="http://schemas.openxmlformats.org/officeDocument/2006/relationships/hyperlink" Id="rId57" Target="https://ec.europa.eu/eurostat/documents/54431/1966394/HBS2015_Transmission_DOC_V3.2018_05_22.pdf" TargetMode="External" /><Relationship Type="http://schemas.openxmlformats.org/officeDocument/2006/relationships/hyperlink" Id="rId65"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48"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63"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6" Target="http://appsso.eurostat.ec.europa.eu/nui/show.do?dataset=env_ac_pefasu" TargetMode="External" /><Relationship Type="http://schemas.openxmlformats.org/officeDocument/2006/relationships/hyperlink" Id="rId61" Target="http://www.ssb.no/en/statbanken/statbank/table/10986/"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59" Target="https://appsso.eurostat.ec.europa.eu/nui/show.do?dataset=lfst_hhnhtych&amp;lang=en" TargetMode="External" /><Relationship Type="http://schemas.openxmlformats.org/officeDocument/2006/relationships/hyperlink" Id="rId67" Target="https://doi.org/10.1080/09535314.2014.935298" TargetMode="External" /><Relationship Type="http://schemas.openxmlformats.org/officeDocument/2006/relationships/hyperlink" Id="rId57" Target="https://ec.europa.eu/eurostat/documents/54431/1966394/HBS2015_Transmission_DOC_V3.2018_05_22.pdf" TargetMode="External" /><Relationship Type="http://schemas.openxmlformats.org/officeDocument/2006/relationships/hyperlink" Id="rId65"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48"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63"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 Supplementary Information</dc:title>
  <dc:creator>Ingram S. Jaccard1, Peter-Paul Pichler1, Johannes Többen1, and Helga Weisz1,2</dc:creator>
  <cp:keywords/>
  <dcterms:created xsi:type="dcterms:W3CDTF">2021-01-29T15:04:48Z</dcterms:created>
  <dcterms:modified xsi:type="dcterms:W3CDTF">2021-01-29T15:04:48Z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True</vt:lpwstr>
  </property>
  <property fmtid="{D5CDD505-2E9C-101B-9397-08002B2CF9AE}" pid="3" name="bibliography">
    <vt:lpwstr>references.bib</vt:lpwstr>
  </property>
  <property fmtid="{D5CDD505-2E9C-101B-9397-08002B2CF9AE}" pid="4" name="content">
    <vt:lpwstr>x pages, x figures</vt:lpwstr>
  </property>
  <property fmtid="{D5CDD505-2E9C-101B-9397-08002B2CF9AE}" pid="5" name="csl">
    <vt:lpwstr>../templates/vancouver.csl</vt:lpwstr>
  </property>
  <property fmtid="{D5CDD505-2E9C-101B-9397-08002B2CF9AE}" pid="6" name="output">
    <vt:lpwstr/>
  </property>
</Properties>
</file>