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13</w:t>
      </w:r>
      <w:r>
        <w:t xml:space="preserve"> </w:t>
      </w:r>
      <w:r>
        <w:t xml:space="preserve">Januar,</w:t>
      </w:r>
      <w:r>
        <w:t xml:space="preserve"> </w:t>
      </w:r>
      <w:r>
        <w:t xml:space="preserve">2021</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(Grubler et al., 2018, pp. @millward–hopkins_providing_2020)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from EUROSTAT covering 28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p>
      <w:pPr>
        <w:pStyle w:val="BodyText"/>
      </w:pPr>
      <w:r>
        <w:t xml:space="preserve">Our unit of analysis through the paper is households normalized by adult equivalent unit, following the income stratified households expenditure data from EUROSTAT. The adult equivalent units from EUROSTAT adjust for household size in different countries and income groups for comparability purposes. When we discuss our household GHG and energy footprints per European expenditure decile in the context of decarbonization scenarios, we adjust total final energy use per capita output from the scenarios to household final energy use per adult equivalent unit.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 [ref], and work by Grubler et al. (2018) [ ] and Millward-Hopkins et al. (2020) [ ]. (IEA, Boell?) All data and procedures are described in detail in the supplementary information (SI).</w:t>
      </w:r>
    </w:p>
    <w:p>
      <w:pPr>
        <w:pStyle w:val="Heading1"/>
      </w:pPr>
      <w:bookmarkStart w:id="22" w:name="results"/>
      <w:r>
        <w:t xml:space="preserve">Results</w:t>
      </w:r>
      <w:bookmarkEnd w:id="22"/>
    </w:p>
    <w:p>
      <w:pPr>
        <w:pStyle w:val="Heading2"/>
      </w:pPr>
      <w:bookmarkStart w:id="23" w:name="X1efa556770ed78e1a307a2933a83f39f055a754"/>
      <w:r>
        <w:t xml:space="preserve">Carbon-energy footprints are less unequal than expenditure levels</w:t>
      </w:r>
      <w:bookmarkEnd w:id="23"/>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carbon-energy footprints. Figures 1a-c show European households by decile of expenditure and their associated footprints for GHGs and energy in 2015. The figures show that increasing expenditure generally translated into larger footprints, but that the inequality decreased from expenditure to energy to greenhouse gas emissions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GHG footprint from 232.8 MtCO2eq to 606.5 MtCO2eq (or 7 tCO2eq/ae to 18.1 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 25.2 MJ/€ in the bottom decile to less than half (12 MJ/€) in the top decile. Additionally, the GHG intensity of energy use was also higher in the bottom decile (52.6 gCO2eq/TJ) compared to the top decile (39.7 gCO2eq/TJ). There is a clear trend of decreasing intensities across expenditure deciles even though the variance in the lower deciles is much higher. The GHG intensity of consumption (figure 1e) combines the effects of the intensities of 1d and 1f. The higher GHG intensity of energy use is likely due to a larger share of emission intensive energy carriers in the energy system. The decreasing energy intensity per expenditure is due to either inefficient energy technologies or energy subsidies in poorer areas in Europe.</w:t>
      </w:r>
    </w:p>
    <w:p>
      <w:pPr>
        <w:pStyle w:val="CaptionedFigure"/>
      </w:pPr>
      <w:r>
        <w:drawing>
          <wp:inline>
            <wp:extent cx="5943600" cy="3962399"/>
            <wp:effectExtent b="0" l="0" r="0" t="0"/>
            <wp:docPr descr="Figure 1: Expenditure and carbon-energy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4"/>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Expenditure and carbon-energy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energy and GHG intensity. The different intensities of household consumption across European expenditure deciles can be attributed to a combination of two plausible causes: first, if the the composition of consumption baskets systematically differs according to the level of household expenditure. Second, if energy and GHG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Our data show that both of these factors play a role</w:t>
      </w:r>
      <w:r>
        <w:t xml:space="preserve"> </w:t>
      </w:r>
      <w:r>
        <w:t xml:space="preserve">2</w:t>
      </w:r>
      <w:r>
        <w:t xml:space="preserve">. Poorer households on average, spend larger shares of their expenditure in the shelter sector. The bottom and top deciles spend an average of 10.6% and 5.4% 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(6.7 kgCO2eq/€) than in the top decile (1.8 kgCO2eq/€). Households in the top decile spend about 55.2% in the service sector that has the lowest GHG intensity, compared to 38.4% in the bottom decile. We have included the EXIOBASE production sector</w:t>
      </w:r>
      <w:r>
        <w:t xml:space="preserve"> </w:t>
      </w:r>
      <w:r>
        <w:t xml:space="preserve">‘</w:t>
      </w:r>
      <w:r>
        <w:t xml:space="preserve">real estate services</w:t>
      </w:r>
      <w:r>
        <w:t xml:space="preserve">’</w:t>
      </w:r>
      <w:r>
        <w:t xml:space="preserve"> </w:t>
      </w:r>
      <w:r>
        <w:t xml:space="preserve">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Single country studies using MRIO models with national resolution can pick up on differences in consumption baskets but due to the homogeneous technology assumption cannot represent differences in technology between expenditure deciles.</w:t>
      </w:r>
    </w:p>
    <w:p>
      <w:pPr>
        <w:pStyle w:val="BodyText"/>
      </w:pPr>
      <w:r>
        <w:t xml:space="preserve">The tendency that the emission intensity for direct energy consumption decreases with increasing affluence can be observed at the global level (XXX) between countries and also applies within Europe. In some of the Eastern European countries, between 80% and 100% of the population belong to the four lowest European expenditure deciles. This compares to less than 20% of the population in the richer European countries (Scandinavia, Germany, France, Austria, the Netherlands, Belgium, the UK, and Ireland). Note here that our analysis is based on average expenditure data from five income groups at the national level. This aggregation cuts off the lower and upper ends of the respective national expenditure distributions (Supplementary Note and Map).</w:t>
      </w:r>
    </w:p>
    <w:p>
      <w:pPr>
        <w:pStyle w:val="BodyText"/>
      </w:pPr>
      <w:r>
        <w:t xml:space="preserve">The high intensities in the bottom four European expenditure deciles can be attributed in large part to inefficient domestic energy supplies for heating and electricity generation in Poland, Bulgaria, the Czech Republic, and Romania. Poland alone was responsible for about 40% of total coal combustion for heat production in Europe in 2015 and had a higher average GHG intensity per MJ of heat delivered than both Europe and the world (XXX). These differences in specific energy and GHG intensities in basic services sectors (especially shelter) account for the smaller inequality between expenditure deciles in terms of carbon-energy footprints compared to raw expenditures.</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carbon-energy footprint of households (Figure 3). On average, shelter and transport are the two largest sectors, accounting for nearly two thirds of both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intensity shown in Figure 2. Transport was the most unequal sector, with footprints 10 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 5 for both footprints), followed by services (10:10 ratios of 4.4 for GHGs and 4.9 for energy) and then food (10:10 ratios of 2.1 for both footprints).</w:t>
      </w:r>
    </w:p>
    <w:p>
      <w:pPr>
        <w:pStyle w:val="CaptionedFigure"/>
      </w:pPr>
      <w:r>
        <w:drawing>
          <wp:inline>
            <wp:extent cx="5943600" cy="3714750"/>
            <wp:effectExtent b="0" l="0" r="0" t="0"/>
            <wp:docPr descr="Figure 3: Energy and GHG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27"/>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GHG footprints by final demand sector and European expenditure decile in 2015 further broken down by emission source location.</w:t>
      </w:r>
    </w:p>
    <w:p>
      <w:pPr>
        <w:pStyle w:val="BodyText"/>
      </w:pPr>
      <w:r>
        <w:t xml:space="preserve">[</w:t>
      </w:r>
      <w:r>
        <w:rPr>
          <w:i/>
        </w:rPr>
        <w:t xml:space="preserve">The following paragraph needs an intro and polish, not clear at the moment why we say this. Maybe only relevant if we pick up reduction options of non-EU emissions in dscussion.</w:t>
      </w:r>
      <w:r>
        <w:t xml:space="preserve">]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demand transformation.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1893"/>
        <w:gridCol w:w="1347"/>
        <w:gridCol w:w="1702"/>
        <w:gridCol w:w="3419"/>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fe_gj_aeu</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ccs_required</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description</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full stock replacement\nalso</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Global 27 GJ/cap</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0</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missing CCS</w:t>
            </w:r>
          </w:p>
        </w:tc>
      </w:tr>
      <w:tr>
        <w:trPr>
          <w:cantSplit/>
          <w:trHeight w:val="512"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45</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44 EJ</w:t>
            </w:r>
          </w:p>
        </w:tc>
      </w:tr>
      <w:tr>
        <w:trPr>
          <w:cantSplit/>
          <w:trHeight w:val="512"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38</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CSS: 38 EJ</w:t>
            </w:r>
          </w:p>
        </w:tc>
      </w:tr>
    </w:tbl>
    <w:p>
      <w:pPr>
        <w:pStyle w:val="BodyText"/>
      </w:pPr>
      <w:r>
        <w:t xml:space="preserve">[</w:t>
      </w:r>
      <w:r>
        <w:rPr>
          <w:i/>
        </w:rPr>
        <w:t xml:space="preserve">maybe table with scenario properties</w:t>
      </w:r>
      <w:r>
        <w:t xml:space="preserve">]</w:t>
      </w:r>
    </w:p>
    <w:p>
      <w:pPr>
        <w:pStyle w:val="BodyText"/>
      </w:pPr>
      <w:r>
        <w:t xml:space="preserve">The various global supply side scenarios (SSP1-1.9, SSP2-1.9, GEA efficiency) envisage total EU (</w:t>
      </w:r>
      <w:r>
        <w:rPr>
          <w:i/>
        </w:rPr>
        <w:t xml:space="preserve">or our sample</w:t>
      </w:r>
      <w:r>
        <w:t xml:space="preserve">) energy consumption falling from the current X EJ to X-Y EJ by 2030 (or 2050), equivalent to a per household reduction from a current average of 250 GJ to X-Y GJ per adult equivalent.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(include Boell?) global demand side scenarios (LED, DLE) 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All two/three scenarios are 1.5°C compatible without resorting to any CCS but they all implicitly (LED) or explicitly (DLE) assume near complete equality of consumption across the population. To put these low energy demand numbers in perspective, the average energy footprint in our sample is about a factor 5 above the high estimate (250 MJ/aeq). Households in the first European expenditure decile had an energy footprint of 130 GJ per adult equivalent in 2015 even though they fell almost entirely within the Eurostat definition of severe material deprivation.</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2b [</w:t>
      </w:r>
      <w:r>
        <w:rPr>
          <w:i/>
        </w:rPr>
        <w:t xml:space="preserve">todo currently figure shows only GHG</w:t>
      </w:r>
      <w:r>
        <w:t xml:space="preserve">]).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 -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Based on this counterfactual distribution of the energy footprint using homogeneous supply technologies, we can now scale down energy consumption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demand constraints in any decile. This means that, based on the current empirical distribution, for each value combination of supply and minimum necessary demand,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(or all three with Boell) the DLE and LED scenarios satisfy energy demand without resorting to CCS technologies. The DLE scenario explicitly envisions absolute global equality (10:10 ratio of 1) in consumption, except for small differences in required energy consumption based on climatic and demographic factors, as well as differences in population density. The LED scenario does not explicitly discuss distributional aspects beyond giving different final energy consumption values for the Global North (53GJ/cap) and the Global South (27GJ/cap). However, due to the bottom-up construction of this demand scenario, these values can be interpreted as estimates for the minimum required energy demand.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quantiles is required.</w:t>
      </w:r>
    </w:p>
    <w:p>
      <w:pPr>
        <w:pStyle w:val="BodyText"/>
      </w:pPr>
      <w:r>
        <w:t xml:space="preserve">At current inequality levels, only the two scenarios with heavy CCS deployment and GEA efficiency are possible if we assume extremely low minimum energy requirements (below 27 GJ/cap). This 27 GJ/capita is the value the low-energy demand (LED) scenario gives for the global South in 2050. If we use the value given for the global North at 53 GJ/cap (with strong demand side measures) then inequality would need to be drastically reduced, the 10:10 ratio more than halved, in all scenarios (including those with CCS deployment).</w:t>
      </w:r>
    </w:p>
    <w:p>
      <w:pPr>
        <w:pStyle w:val="BodyText"/>
      </w:pPr>
      <w:r>
        <w:t xml:space="preserve">[</w:t>
      </w:r>
      <w:r>
        <w:rPr>
          <w:i/>
        </w:rPr>
        <w:t xml:space="preserve">Figure supplement: show country map with energy reductions resulting from SSPx supply and LED demand</w:t>
      </w:r>
      <w:r>
        <w:t xml:space="preserve">]</w:t>
      </w:r>
    </w:p>
    <w:p>
      <w:pPr>
        <w:pStyle w:val="BodyText"/>
      </w:pPr>
      <w:r>
        <w:t xml:space="preserve">Mini-conclusion: It is not enough to maximise supply and minimise demand. To hit targets, inequality needs to dramatically reduce under all realistic scenarios.</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conclusions"/>
      <w:r>
        <w:t xml:space="preserve">Conclusions</w:t>
      </w:r>
      <w:bookmarkEnd w:id="33"/>
    </w:p>
    <w:p>
      <w:pPr>
        <w:pStyle w:val="FirstParagraph"/>
      </w:pPr>
      <w:r>
        <w:t xml:space="preserve">Measuring carbon-energy inequality is important for assigning responsibility for climate change. At a global</w:t>
      </w:r>
      <w:r>
        <w:t xml:space="preserve"> </w:t>
      </w:r>
      <w:r>
        <w:t xml:space="preserve">(Piketty and Chancel, 2015, pp. @kartha_carbon_2020 @gore_extreme_2015 @hubacek_global_2017–1 @oswald_large_2020)</w:t>
      </w:r>
      <w:r>
        <w:t xml:space="preserve">, regional</w:t>
      </w:r>
      <w:r>
        <w:t xml:space="preserve"> </w:t>
      </w:r>
      <w:r>
        <w:t xml:space="preserve">(Ivanova and Wood, 2020)</w:t>
      </w:r>
      <w:r>
        <w:t xml:space="preserve">, and within-country level</w:t>
      </w:r>
      <w:r>
        <w:t xml:space="preserve"> </w:t>
      </w:r>
      <w:r>
        <w:t xml:space="preserve">(Wiedenhofer et al., 2017, p. @golley_income_2012 @steenolsen_carbon_2016 @weber_quantifying_2008 @hardadi_implications_2020 @oswald_large_2020)</w:t>
      </w:r>
      <w:r>
        <w:t xml:space="preserve">, energy consumption and carbon emissions can be highly unequal across income groups. The reduction of carbon-energy inequality is not a meaningful goal by itself, however. With more nuance on carbon-energy inequality, when carbon-energy intensities of income groups can be estimated using information on different consumption baskets and technologies, we have seen that in Europe, just bringing carbon-energy intensities of all income groups in line with the top group would reduce the carbon-energy footprint but</w:t>
      </w:r>
      <w:r>
        <w:t xml:space="preserve"> </w:t>
      </w:r>
      <w:r>
        <w:rPr>
          <w:i/>
        </w:rPr>
        <w:t xml:space="preserve">increase</w:t>
      </w:r>
      <w:r>
        <w:t xml:space="preserve"> </w:t>
      </w:r>
      <w:r>
        <w:t xml:space="preserve">carbon-energy inequality. That lower-income groups tend to have higher carbon-energy intensities is an important finding from the environmental Kuznet’s curve literature</w:t>
      </w:r>
      <w:r>
        <w:t xml:space="preserve"> </w:t>
      </w:r>
      <w:r>
        <w:t xml:space="preserve">(Berthe and Elie, 2015, p. @scruggs_political_1998)</w:t>
      </w:r>
      <w:r>
        <w:t xml:space="preserve">. We find that this is the case for Europe as a whole (although not necessarily within each European country)</w:t>
      </w:r>
      <w:r>
        <w:t xml:space="preserve"> </w:t>
      </w:r>
      <w:r>
        <w:t xml:space="preserve">(Sommer and Kratena, 2017, p. @kerkhof_determinants_200)</w:t>
      </w:r>
      <w:r>
        <w:t xml:space="preserve">. Responsibility for climate change focuses on aggregate carbon-energy inequality, and thus tends to focus on reducing over-consumption at the top. Without differences in intensity included, where/what to target: aggregate consumption a problem at top, not at bottom, etc.</w:t>
      </w:r>
      <w:r>
        <w:t xml:space="preserve"> </w:t>
      </w:r>
      <w:r>
        <w:t xml:space="preserve">(Bianco et al., 2019)</w:t>
      </w:r>
    </w:p>
    <w:p>
      <w:pPr>
        <w:pStyle w:val="BodyText"/>
      </w:pPr>
      <w:r>
        <w:t xml:space="preserve">Understanding this relationship is important towards achieving two potentially conflicting goals in Europe: carbon-energy footprint reduction and providing minimum energy use for decent living to everyone. At a global level, achieving sweeping poverty reduction in many regions of the world could put at risk hitting global climate targets (Hubacek). In the European context, although less unequal than the globe as a whole, lower-income groups will look to increase income, consumption, energy use, and carbon emissions will increase if more efficient and cleaner technology is not adopted at the appropriate rate. Achieving an average per capita energy use and carbon footprint in Europe in scenarios that reach the Paris agreement goals, means either doing so at current inequality levels and keeping lower-income groups near or below minimum energy use levels for decent living, or reducing economic inequality. We have shown that achieving both scenario targets and minimum energy levels likely requires reduction in economic inequality (consumption inequality reduction measures in Europe) coupled with the appropriate targeted climate-energy measures for the various income groups and countries (expand on how it relates to 1st paragraph).</w:t>
      </w:r>
    </w:p>
    <w:p>
      <w:pPr>
        <w:pStyle w:val="BodyText"/>
      </w:pPr>
      <w:r>
        <w:t xml:space="preserve">Refs to add:</w:t>
      </w:r>
    </w:p>
    <w:p>
      <w:pPr>
        <w:pStyle w:val="BodyText"/>
      </w:pPr>
      <w:r>
        <w:t xml:space="preserve">demand side solution:</w:t>
      </w:r>
    </w:p>
    <w:p>
      <w:pPr>
        <w:pStyle w:val="BodyText"/>
      </w:pPr>
      <w:r>
        <w:t xml:space="preserve">Royston, S., Selby, J. &amp; Shove, E. Invisible energy policies: A new agenda for energy demand reduction.</w:t>
      </w:r>
      <w:r>
        <w:t xml:space="preserve"> </w:t>
      </w:r>
      <w:r>
        <w:rPr>
          <w:i/>
        </w:rPr>
        <w:t xml:space="preserve">Energy Policy</w:t>
      </w:r>
      <w:r>
        <w:t xml:space="preserve"> </w:t>
      </w:r>
      <w:r>
        <w:rPr>
          <w:b/>
        </w:rPr>
        <w:t xml:space="preserve">123</w:t>
      </w:r>
      <w:r>
        <w:t xml:space="preserve">, 127–135 (2018).</w:t>
      </w:r>
    </w:p>
    <w:p>
      <w:pPr>
        <w:pStyle w:val="BodyText"/>
      </w:pPr>
      <w:r>
        <w:t xml:space="preserve">reduction in demand</w:t>
      </w:r>
    </w:p>
    <w:p>
      <w:pPr>
        <w:pStyle w:val="BodyText"/>
      </w:pPr>
      <w:r>
        <w:t xml:space="preserve">Alfredsson, E.</w:t>
      </w:r>
      <w:r>
        <w:t xml:space="preserve"> </w:t>
      </w:r>
      <w:r>
        <w:rPr>
          <w:i/>
        </w:rPr>
        <w:t xml:space="preserve">et al.</w:t>
      </w:r>
      <w:r>
        <w:t xml:space="preserve"> </w:t>
      </w:r>
      <w:r>
        <w:t xml:space="preserve">Why achieving the Paris Agreement requires reduced overall consumption and production.</w:t>
      </w:r>
      <w:r>
        <w:t xml:space="preserve"> </w:t>
      </w:r>
      <w:r>
        <w:rPr>
          <w:i/>
        </w:rPr>
        <w:t xml:space="preserve">Sustainability: Science, Practice and Policy</w:t>
      </w:r>
      <w:r>
        <w:t xml:space="preserve"> </w:t>
      </w:r>
      <w:r>
        <w:rPr>
          <w:b/>
        </w:rPr>
        <w:t xml:space="preserve">14</w:t>
      </w:r>
      <w:r>
        <w:t xml:space="preserve">, 1–5 (2018).</w:t>
      </w:r>
    </w:p>
    <w:p>
      <w:pPr>
        <w:pStyle w:val="Heading1"/>
      </w:pPr>
      <w:bookmarkStart w:id="34" w:name="acknowledgements"/>
      <w:r>
        <w:t xml:space="preserve">Acknowledgements</w:t>
      </w:r>
      <w:bookmarkEnd w:id="34"/>
    </w:p>
    <w:p>
      <w:r>
        <w:br w:type="page"/>
      </w:r>
    </w:p>
    <w:p>
      <w:pPr>
        <w:pStyle w:val="Heading1"/>
      </w:pPr>
      <w:bookmarkStart w:id="35" w:name="references"/>
      <w:r>
        <w:t xml:space="preserve">References</w:t>
      </w:r>
      <w:bookmarkEnd w:id="35"/>
    </w:p>
    <w:bookmarkStart w:id="71" w:name="refs"/>
    <w:bookmarkStart w:id="36" w:name="ref-akenji_1.5-degree_2019"/>
    <w:p>
      <w:pPr>
        <w:pStyle w:val="Bibliography"/>
      </w:pPr>
      <w:r>
        <w:t xml:space="preserve">Akenji, L., Lettenmeier, M., Koide, R., Toivio, V., Amellina, A., 2019. 1.5-Degree Lifestyles: Targets and options for reducing lifestyle carbon footprints. Institute for Global Environmental Strategies, Aalto University,; D-mat ltd.</w:t>
      </w:r>
    </w:p>
    <w:bookmarkEnd w:id="36"/>
    <w:bookmarkStart w:id="38" w:name="ref-berthe_mechanisms_2015"/>
    <w:p>
      <w:pPr>
        <w:pStyle w:val="Bibliography"/>
      </w:pPr>
      <w:r>
        <w:t xml:space="preserve">Berthe, A., Elie, L., 2015. Mechanisms explaining the impact of economic inequality on environmental deterioration. Ecological Economics 116, 191–200.</w:t>
      </w:r>
      <w:r>
        <w:t xml:space="preserve"> </w:t>
      </w:r>
      <w:hyperlink r:id="rId37">
        <w:r>
          <w:rPr>
            <w:rStyle w:val="Hyperlink"/>
          </w:rPr>
          <w:t xml:space="preserve">https://doi.org/10.1016/j.ecolecon.2015.04.026</w:t>
        </w:r>
      </w:hyperlink>
    </w:p>
    <w:bookmarkEnd w:id="38"/>
    <w:bookmarkStart w:id="40" w:name="ref-bianco_understanding_2019"/>
    <w:p>
      <w:pPr>
        <w:pStyle w:val="Bibliography"/>
      </w:pPr>
      <w:r>
        <w:t xml:space="preserve">Bianco, V., Cascetta, F., Marino, A., Nardini, S., 2019. Understanding energy consumption and carbon emissions in Europe: A focus on inequality issues. Energy 170, 120–130.</w:t>
      </w:r>
      <w:r>
        <w:t xml:space="preserve"> </w:t>
      </w:r>
      <w:hyperlink r:id="rId39">
        <w:r>
          <w:rPr>
            <w:rStyle w:val="Hyperlink"/>
          </w:rPr>
          <w:t xml:space="preserve">https://doi.org/10.1016/j.energy.2018.12.120</w:t>
        </w:r>
      </w:hyperlink>
    </w:p>
    <w:bookmarkEnd w:id="40"/>
    <w:bookmarkStart w:id="42"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41">
        <w:r>
          <w:rPr>
            <w:rStyle w:val="Hyperlink"/>
          </w:rPr>
          <w:t xml:space="preserve">https://doi.org/10.1038/s41558-018-0121-1</w:t>
        </w:r>
      </w:hyperlink>
    </w:p>
    <w:bookmarkEnd w:id="42"/>
    <w:bookmarkStart w:id="44" w:name="ref-golley_income_2012"/>
    <w:p>
      <w:pPr>
        <w:pStyle w:val="Bibliography"/>
      </w:pPr>
      <w:r>
        <w:t xml:space="preserve">Golley, J., Meng, X., 2012. Income inequality and carbon dioxide emissions: The case of Chinese urban households. Energy Economics 34, 1864–1872.</w:t>
      </w:r>
      <w:r>
        <w:t xml:space="preserve"> </w:t>
      </w:r>
      <w:hyperlink r:id="rId43">
        <w:r>
          <w:rPr>
            <w:rStyle w:val="Hyperlink"/>
          </w:rPr>
          <w:t xml:space="preserve">https://doi.org/10.1016/j.eneco.2012.07.025</w:t>
        </w:r>
      </w:hyperlink>
    </w:p>
    <w:bookmarkEnd w:id="44"/>
    <w:bookmarkStart w:id="45" w:name="ref-gore_extreme_2015"/>
    <w:p>
      <w:pPr>
        <w:pStyle w:val="Bibliography"/>
      </w:pPr>
      <w:r>
        <w:t xml:space="preserve">Gore, T., 2015. Extreme Carbon Inequality: Why the Paris climate deal must put the poorest, lowest emitting and most vulnerable people first.</w:t>
      </w:r>
    </w:p>
    <w:bookmarkEnd w:id="45"/>
    <w:bookmarkStart w:id="47"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46">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7"/>
    <w:bookmarkStart w:id="49" w:name="ref-hardadi_implications_2020"/>
    <w:p>
      <w:pPr>
        <w:pStyle w:val="Bibliography"/>
      </w:pPr>
      <w:r>
        <w:t xml:space="preserve">Hardadi, G., Buchholz, A., Pauliuk, S., 2020. Implications of the distribution of German household environmental footprints across income groups for integrating environmental and social policy design. Journal of Industrial Ecology n/a.</w:t>
      </w:r>
      <w:r>
        <w:t xml:space="preserve"> </w:t>
      </w:r>
      <w:hyperlink r:id="rId48">
        <w:r>
          <w:rPr>
            <w:rStyle w:val="Hyperlink"/>
          </w:rPr>
          <w:t xml:space="preserve">https://doi.org/10.1111/jiec.13045</w:t>
        </w:r>
      </w:hyperlink>
    </w:p>
    <w:bookmarkEnd w:id="49"/>
    <w:bookmarkStart w:id="51" w:name="ref-hubacek_global_2017-1"/>
    <w:p>
      <w:pPr>
        <w:pStyle w:val="Bibliography"/>
      </w:pPr>
      <w:r>
        <w:t xml:space="preserve">Hubacek, K., Baiocchi, G., Feng, K., Muñoz Castillo, R., Sun, L., Xue, J., 2017. Global carbon inequality. Energy, Ecology and Environment 2, 361–369.</w:t>
      </w:r>
      <w:r>
        <w:t xml:space="preserve"> </w:t>
      </w:r>
      <w:hyperlink r:id="rId50">
        <w:r>
          <w:rPr>
            <w:rStyle w:val="Hyperlink"/>
          </w:rPr>
          <w:t xml:space="preserve">https://doi.org/10.1007/s40974-017-0072-9</w:t>
        </w:r>
      </w:hyperlink>
    </w:p>
    <w:bookmarkEnd w:id="51"/>
    <w:bookmarkStart w:id="53"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52">
        <w:r>
          <w:rPr>
            <w:rStyle w:val="Hyperlink"/>
          </w:rPr>
          <w:t xml:space="preserve">https://doi.org/10.1088/1748-9326/ab8589</w:t>
        </w:r>
      </w:hyperlink>
    </w:p>
    <w:bookmarkEnd w:id="53"/>
    <w:bookmarkStart w:id="55" w:name="ref-ivanova_environmental_2016"/>
    <w:p>
      <w:pPr>
        <w:pStyle w:val="Bibliography"/>
      </w:pPr>
      <w:r>
        <w:t xml:space="preserve">Ivanova, D., Stadler, K., Steen‐Olsen, K., Wood, R., Vita, G., Tukker, A., Hertwich, E.G., 2016. Environmental Impact Assessment of Household Consumption. Journal of Industrial Ecology 20, 526–536.</w:t>
      </w:r>
      <w:r>
        <w:t xml:space="preserve"> </w:t>
      </w:r>
      <w:hyperlink r:id="rId54">
        <w:r>
          <w:rPr>
            <w:rStyle w:val="Hyperlink"/>
          </w:rPr>
          <w:t xml:space="preserve">https://doi.org/10.1111/jiec.12371</w:t>
        </w:r>
      </w:hyperlink>
    </w:p>
    <w:bookmarkEnd w:id="55"/>
    <w:bookmarkStart w:id="57" w:name="ref-ivanova_unequal_2020"/>
    <w:p>
      <w:pPr>
        <w:pStyle w:val="Bibliography"/>
      </w:pPr>
      <w:r>
        <w:t xml:space="preserve">Ivanova, D., Wood, R., 2020. The unequal distribution of household carbon footprints in Europe and its link to sustainability. Global Sustainability 3.</w:t>
      </w:r>
      <w:r>
        <w:t xml:space="preserve"> </w:t>
      </w:r>
      <w:hyperlink r:id="rId56">
        <w:r>
          <w:rPr>
            <w:rStyle w:val="Hyperlink"/>
          </w:rPr>
          <w:t xml:space="preserve">https://doi.org/10.1017/sus.2020.12</w:t>
        </w:r>
      </w:hyperlink>
    </w:p>
    <w:bookmarkEnd w:id="57"/>
    <w:bookmarkStart w:id="58" w:name="ref-kartha_carbon_2020"/>
    <w:p>
      <w:pPr>
        <w:pStyle w:val="Bibliography"/>
      </w:pPr>
      <w:r>
        <w:t xml:space="preserve">Kartha, S., Kemp-Benedict, E., Ghosh, E., Nazareth, A., 2020. The Carbon Inequality Era.</w:t>
      </w:r>
    </w:p>
    <w:bookmarkEnd w:id="58"/>
    <w:bookmarkStart w:id="60"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59">
        <w:r>
          <w:rPr>
            <w:rStyle w:val="Hyperlink"/>
          </w:rPr>
          <w:t xml:space="preserve">https://doi.org/10.1016/j.gloenvcha.2020.102168</w:t>
        </w:r>
      </w:hyperlink>
    </w:p>
    <w:bookmarkEnd w:id="60"/>
    <w:bookmarkStart w:id="62"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61">
        <w:r>
          <w:rPr>
            <w:rStyle w:val="Hyperlink"/>
          </w:rPr>
          <w:t xml:space="preserve">https://doi.org/10.1038/s41560-020-0579-8</w:t>
        </w:r>
      </w:hyperlink>
    </w:p>
    <w:bookmarkEnd w:id="62"/>
    <w:bookmarkStart w:id="63" w:name="ref-piketty_carbon_2015"/>
    <w:p>
      <w:pPr>
        <w:pStyle w:val="Bibliography"/>
      </w:pPr>
      <w:r>
        <w:t xml:space="preserve">Piketty, T., Chancel, L., 2015. Carbon and inequality: From Kyoto to Paris. Paris Sch Econ (www. parisschoolofeconomics. eu/en/news/carbon-and-inequality-from-kyoto-to-parischancel-piketty/).</w:t>
      </w:r>
    </w:p>
    <w:bookmarkEnd w:id="63"/>
    <w:bookmarkStart w:id="64" w:name="ref-scruggs_political_1998"/>
    <w:p>
      <w:pPr>
        <w:pStyle w:val="Bibliography"/>
      </w:pPr>
      <w:r>
        <w:t xml:space="preserve">Scruggs, L., 1998. Political and economic inequality and the environment. Ecological Economics 26, 259–275.</w:t>
      </w:r>
    </w:p>
    <w:bookmarkEnd w:id="64"/>
    <w:bookmarkStart w:id="65" w:name="ref-sommer_carbon_2017"/>
    <w:p>
      <w:pPr>
        <w:pStyle w:val="Bibliography"/>
      </w:pPr>
      <w:r>
        <w:t xml:space="preserve">Sommer, M., Kratena, K., 2017. The Carbon Footprint of European Households and Income Distribution. Ecological Economics 136, 62–72.</w:t>
      </w:r>
    </w:p>
    <w:bookmarkEnd w:id="65"/>
    <w:bookmarkStart w:id="67" w:name="ref-steenolsen_carbon_2016"/>
    <w:p>
      <w:pPr>
        <w:pStyle w:val="Bibliography"/>
      </w:pPr>
      <w:r>
        <w:t xml:space="preserve">Steen‐Olsen, K., Wood, R., Hertwich, E.G., 2016. The Carbon Footprint of Norwegian Household Consumption 1999–2012. Journal of Industrial Ecology 20, 582–592.</w:t>
      </w:r>
      <w:r>
        <w:t xml:space="preserve"> </w:t>
      </w:r>
      <w:hyperlink r:id="rId66">
        <w:r>
          <w:rPr>
            <w:rStyle w:val="Hyperlink"/>
          </w:rPr>
          <w:t xml:space="preserve">https://doi.org/10.1111/jiec.12405</w:t>
        </w:r>
      </w:hyperlink>
    </w:p>
    <w:bookmarkEnd w:id="67"/>
    <w:bookmarkStart w:id="69" w:name="ref-weber_quantifying_2008"/>
    <w:p>
      <w:pPr>
        <w:pStyle w:val="Bibliography"/>
      </w:pPr>
      <w:r>
        <w:t xml:space="preserve">Weber, C.L., Matthews, H.S., 2008. Quantifying the global and distributional aspects of American household carbon footprint. Ecological Economics 66, 379–391.</w:t>
      </w:r>
      <w:r>
        <w:t xml:space="preserve"> </w:t>
      </w:r>
      <w:hyperlink r:id="rId68">
        <w:r>
          <w:rPr>
            <w:rStyle w:val="Hyperlink"/>
          </w:rPr>
          <w:t xml:space="preserve">https://doi.org/10.1016/j.ecolecon.2007.09.021</w:t>
        </w:r>
      </w:hyperlink>
    </w:p>
    <w:bookmarkEnd w:id="69"/>
    <w:bookmarkStart w:id="70" w:name="ref-wiedenhofer_unequal_2017"/>
    <w:p>
      <w:pPr>
        <w:pStyle w:val="Bibliography"/>
      </w:pPr>
      <w:r>
        <w:t xml:space="preserve">Wiedenhofer, D., Guan, D., Liu, Z., Meng, J., Zhang, N., Wei, Y.-M., 2017. Unequal household carbon footprints in China. Nature Climate Change 7, 75–80.</w:t>
      </w:r>
    </w:p>
    <w:bookmarkEnd w:id="70"/>
    <w:bookmarkEnd w:id="71"/>
    <w:p>
      <w:r>
        <w:br w:type="page"/>
      </w:r>
    </w:p>
    <w:p>
      <w:pPr>
        <w:pStyle w:val="Heading3"/>
      </w:pPr>
      <w:bookmarkStart w:id="72" w:name="colophon"/>
      <w:r>
        <w:t xml:space="preserve">Colophon</w:t>
      </w:r>
      <w:bookmarkEnd w:id="72"/>
    </w:p>
    <w:p>
      <w:pPr>
        <w:pStyle w:val="FirstParagraph"/>
      </w:pPr>
      <w:r>
        <w:t xml:space="preserve">This report was generated on 2021-01-13 08:09:57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2021-01-13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[aaa15a6] 2021-01-13: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50" Target="https://doi.org/10.1007/s40974-017-0072-9" TargetMode="External" /><Relationship Type="http://schemas.openxmlformats.org/officeDocument/2006/relationships/hyperlink" Id="rId68" Target="https://doi.org/10.1016/j.ecolecon.2007.09.021" TargetMode="External" /><Relationship Type="http://schemas.openxmlformats.org/officeDocument/2006/relationships/hyperlink" Id="rId37" Target="https://doi.org/10.1016/j.ecolecon.2015.04.026" TargetMode="External" /><Relationship Type="http://schemas.openxmlformats.org/officeDocument/2006/relationships/hyperlink" Id="rId43" Target="https://doi.org/10.1016/j.eneco.2012.07.025" TargetMode="External" /><Relationship Type="http://schemas.openxmlformats.org/officeDocument/2006/relationships/hyperlink" Id="rId39" Target="https://doi.org/10.1016/j.energy.2018.12.120" TargetMode="External" /><Relationship Type="http://schemas.openxmlformats.org/officeDocument/2006/relationships/hyperlink" Id="rId59" Target="https://doi.org/10.1016/j.gloenvcha.2020.102168" TargetMode="External" /><Relationship Type="http://schemas.openxmlformats.org/officeDocument/2006/relationships/hyperlink" Id="rId56" Target="https://doi.org/10.1017/sus.2020.12" TargetMode="External" /><Relationship Type="http://schemas.openxmlformats.org/officeDocument/2006/relationships/hyperlink" Id="rId41" Target="https://doi.org/10.1038/s41558-018-0121-1" TargetMode="External" /><Relationship Type="http://schemas.openxmlformats.org/officeDocument/2006/relationships/hyperlink" Id="rId61" Target="https://doi.org/10.1038/s41560-020-0579-8" TargetMode="External" /><Relationship Type="http://schemas.openxmlformats.org/officeDocument/2006/relationships/hyperlink" Id="rId52" Target="https://doi.org/10.1088/1748-9326/ab8589" TargetMode="External" /><Relationship Type="http://schemas.openxmlformats.org/officeDocument/2006/relationships/hyperlink" Id="rId54" Target="https://doi.org/10.1111/jiec.12371" TargetMode="External" /><Relationship Type="http://schemas.openxmlformats.org/officeDocument/2006/relationships/hyperlink" Id="rId66" Target="https://doi.org/10.1111/jiec.12405" TargetMode="External" /><Relationship Type="http://schemas.openxmlformats.org/officeDocument/2006/relationships/hyperlink" Id="rId48" Target="https://doi.org/10.1111/jiec.13045" TargetMode="External" /><Relationship Type="http://schemas.openxmlformats.org/officeDocument/2006/relationships/hyperlink" Id="rId46"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50" Target="https://doi.org/10.1007/s40974-017-0072-9" TargetMode="External" /><Relationship Type="http://schemas.openxmlformats.org/officeDocument/2006/relationships/hyperlink" Id="rId68" Target="https://doi.org/10.1016/j.ecolecon.2007.09.021" TargetMode="External" /><Relationship Type="http://schemas.openxmlformats.org/officeDocument/2006/relationships/hyperlink" Id="rId37" Target="https://doi.org/10.1016/j.ecolecon.2015.04.026" TargetMode="External" /><Relationship Type="http://schemas.openxmlformats.org/officeDocument/2006/relationships/hyperlink" Id="rId43" Target="https://doi.org/10.1016/j.eneco.2012.07.025" TargetMode="External" /><Relationship Type="http://schemas.openxmlformats.org/officeDocument/2006/relationships/hyperlink" Id="rId39" Target="https://doi.org/10.1016/j.energy.2018.12.120" TargetMode="External" /><Relationship Type="http://schemas.openxmlformats.org/officeDocument/2006/relationships/hyperlink" Id="rId59" Target="https://doi.org/10.1016/j.gloenvcha.2020.102168" TargetMode="External" /><Relationship Type="http://schemas.openxmlformats.org/officeDocument/2006/relationships/hyperlink" Id="rId56" Target="https://doi.org/10.1017/sus.2020.12" TargetMode="External" /><Relationship Type="http://schemas.openxmlformats.org/officeDocument/2006/relationships/hyperlink" Id="rId41" Target="https://doi.org/10.1038/s41558-018-0121-1" TargetMode="External" /><Relationship Type="http://schemas.openxmlformats.org/officeDocument/2006/relationships/hyperlink" Id="rId61" Target="https://doi.org/10.1038/s41560-020-0579-8" TargetMode="External" /><Relationship Type="http://schemas.openxmlformats.org/officeDocument/2006/relationships/hyperlink" Id="rId52" Target="https://doi.org/10.1088/1748-9326/ab8589" TargetMode="External" /><Relationship Type="http://schemas.openxmlformats.org/officeDocument/2006/relationships/hyperlink" Id="rId54" Target="https://doi.org/10.1111/jiec.12371" TargetMode="External" /><Relationship Type="http://schemas.openxmlformats.org/officeDocument/2006/relationships/hyperlink" Id="rId66" Target="https://doi.org/10.1111/jiec.12405" TargetMode="External" /><Relationship Type="http://schemas.openxmlformats.org/officeDocument/2006/relationships/hyperlink" Id="rId48" Target="https://doi.org/10.1111/jiec.13045" TargetMode="External" /><Relationship Type="http://schemas.openxmlformats.org/officeDocument/2006/relationships/hyperlink" Id="rId46"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2021-01-13T07:10:02Z</dcterms:created>
  <dcterms:modified xsi:type="dcterms:W3CDTF">2021-01-13T07:10:02Z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13 Januar, 2021</vt:lpwstr>
  </property>
  <property fmtid="{D5CDD505-2E9C-101B-9397-08002B2CF9AE}" pid="6" name="highlights">
    <vt:lpwstr>These are the highlights.</vt:lpwstr>
  </property>
  <property fmtid="{D5CDD505-2E9C-101B-9397-08002B2CF9AE}" pid="7" name="output">
    <vt:lpwstr/>
  </property>
</Properties>
</file>